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附件：</w:t>
      </w:r>
      <w:bookmarkStart w:id="0" w:name="_GoBack"/>
      <w:r>
        <w:rPr>
          <w:rFonts w:hint="eastAsia" w:ascii="方正仿宋_GB2312" w:hAnsi="方正仿宋_GB2312" w:eastAsia="方正仿宋_GB2312" w:cs="方正仿宋_GB2312"/>
          <w:b/>
          <w:bCs/>
          <w:sz w:val="32"/>
          <w:szCs w:val="32"/>
          <w:lang w:val="en-US" w:eastAsia="zh-CN"/>
        </w:rPr>
        <w:t>比选评分细则</w:t>
      </w:r>
      <w:bookmarkEnd w:id="0"/>
    </w:p>
    <w:p>
      <w:pPr>
        <w:pStyle w:val="5"/>
        <w:ind w:firstLine="0" w:firstLineChars="0"/>
        <w:rPr>
          <w:rFonts w:ascii="方正仿宋_GB2312" w:hAnsi="方正仿宋_GB2312" w:eastAsia="方正仿宋_GB2312" w:cs="方正仿宋_GB2312"/>
          <w:sz w:val="24"/>
        </w:rPr>
      </w:pPr>
      <w:r>
        <w:rPr>
          <w:rFonts w:hint="eastAsia" w:ascii="方正仿宋_GB2312" w:hAnsi="方正仿宋_GB2312" w:eastAsia="方正仿宋_GB2312" w:cs="方正仿宋_GB2312"/>
          <w:sz w:val="24"/>
        </w:rPr>
        <w:t>1.技术评分</w:t>
      </w:r>
      <w:r>
        <w:rPr>
          <w:rFonts w:hint="eastAsia" w:ascii="方正仿宋_GB2312" w:hAnsi="方正仿宋_GB2312" w:eastAsia="方正仿宋_GB2312" w:cs="方正仿宋_GB2312"/>
          <w:szCs w:val="21"/>
        </w:rPr>
        <w:t>（60分）</w:t>
      </w:r>
      <w:r>
        <w:rPr>
          <w:rFonts w:hint="eastAsia" w:ascii="方正仿宋_GB2312" w:hAnsi="方正仿宋_GB2312" w:eastAsia="方正仿宋_GB2312" w:cs="方正仿宋_GB2312"/>
          <w:sz w:val="24"/>
        </w:rPr>
        <w:t>：</w:t>
      </w:r>
    </w:p>
    <w:tbl>
      <w:tblPr>
        <w:tblStyle w:val="15"/>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081"/>
        <w:gridCol w:w="777"/>
        <w:gridCol w:w="5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序号</w:t>
            </w:r>
          </w:p>
        </w:tc>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评审分项</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分值</w:t>
            </w:r>
          </w:p>
        </w:tc>
        <w:tc>
          <w:tcPr>
            <w:tcW w:w="5210"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w:t>
            </w:r>
          </w:p>
        </w:tc>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服务团队</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10</w:t>
            </w:r>
          </w:p>
        </w:tc>
        <w:tc>
          <w:tcPr>
            <w:tcW w:w="5210"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具有履行合同所必需的专业技术支持能力：</w:t>
            </w:r>
          </w:p>
          <w:p>
            <w:pPr>
              <w:widowControl/>
              <w:numPr>
                <w:ilvl w:val="0"/>
                <w:numId w:val="2"/>
              </w:numPr>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病理诊断委托三级甲等综合医院病理科团队进行病理诊断的，得10分；</w:t>
            </w:r>
          </w:p>
          <w:p>
            <w:pPr>
              <w:widowControl/>
              <w:numPr>
                <w:ilvl w:val="0"/>
                <w:numId w:val="2"/>
              </w:numPr>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病理诊断依托第三方实验室自有病理人员进行诊断的，得5分；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（注：需提供三甲医院病理科盖章授权书、病理诊断专家团结简介等相应的证明材料；或提供供应商实验室自有病理医生的资格证书复印件和聘用协议并加盖投标人公章，无提供或资料不全者不得分）。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w:t>
            </w:r>
          </w:p>
        </w:tc>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驻点人员及投入设备配置方案</w:t>
            </w:r>
          </w:p>
        </w:tc>
        <w:tc>
          <w:tcPr>
            <w:tcW w:w="777"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7</w:t>
            </w:r>
          </w:p>
        </w:tc>
        <w:tc>
          <w:tcPr>
            <w:tcW w:w="5210"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提供完善的人员及设备配置方案，其中包含：</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1、能提供熟练的驻点技术人员协助科室业务开展；</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2、提供的设备能搭建病理科所需的技术平台；</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3、提供的设备自动化程度高，利于病理科提高工作效率。</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评审委员会根据提供的方案进行综合评审：</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优：人员、设备配备方案高度符合项目建设目标，得7分；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良：人员、设备配备方案符合项目建设目标，得4分；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差：人员、设备配备方案不符合项目建设目标，得0分。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（注：需提供人员相关资料、设备注册证等证明材料，不提供不得分）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3</w:t>
            </w:r>
          </w:p>
        </w:tc>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售后服务</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10</w:t>
            </w:r>
          </w:p>
        </w:tc>
        <w:tc>
          <w:tcPr>
            <w:tcW w:w="5210"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提供完善的设备服务体系并拥有6人以上（含6人）售后服务团队，得10分；拥有3-6人的服务团队，得7分；拥有3人以下（含3人）的服务团队，得0分。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（注：提供设备维护人员名单及其近半年的社保证明或聘用协议，并加盖单位公章，无提供或资料不全者不得分）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4</w:t>
            </w:r>
          </w:p>
        </w:tc>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信息化服务能力</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13</w:t>
            </w:r>
          </w:p>
        </w:tc>
        <w:tc>
          <w:tcPr>
            <w:tcW w:w="5210"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投标人拥有完善的信息化服务能力，能提供满足需求的病理报告系统；可根据需求，提供远程教学平台，链接平台专业培训资源，为病理医技人员提供持续的继续教育培训，提升病理技术水平。</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1、投标人具备完善的病理数字化与智能化研发和服务能力，为项目提供的信息系统功能完善，集成度高：</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投标人提供的系统为一体化信息系统，集成本地报告、远程会诊、AI辅助诊断，能满足并提高医院病理科的工作效率，每提供1项系统集成得2分，满分6分。</w:t>
            </w:r>
          </w:p>
          <w:p>
            <w:pPr>
              <w:widowControl/>
              <w:jc w:val="left"/>
              <w:rPr>
                <w:rFonts w:ascii="方正仿宋_GB2312" w:hAnsi="方正仿宋_GB2312" w:eastAsia="方正仿宋_GB2312" w:cs="方正仿宋_GB2312"/>
                <w:szCs w:val="21"/>
              </w:rPr>
            </w:pP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2、投标人可根据需求，搭建线上-线下病理交流平台。</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①投标人拥有自主开发的线上病理人才培训平台，提供病理人才系列培训课程，累计课程超过1000讲，且具备完善的病理亚专科学习内容（涵盖：如组织病理诊断、细胞病理诊断、免疫组织化学应用、FISH临床应用、病理诊断规范化培训等系统性的线上培训课程）；</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②投标人可提供线下交流活动：可协助不定期组织当地三甲医院高级职称病理专家为医院提供临床协作服务支持和病理学科建设提升服务，包括技术带教、专题讲座、学术交流等。</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1）优：提供优质的线上线下学术交流平台，提供全面、系统、连续的线上培训方案、提供完善线下学术交流方案等，且配套学术工具完善可行性高，实用性强，高度符合项目需求的，得7分。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2）良：服务方案的整体完善，可行性高，符合项目需求，得3分。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3）中：服务方案基本完整，具备一定可行性，基本符合项目需求，得1分。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4）差：服务方案的整体差，不符合项目需求，得0分。</w:t>
            </w:r>
          </w:p>
          <w:p>
            <w:pPr>
              <w:widowControl/>
              <w:jc w:val="left"/>
              <w:rPr>
                <w:rFonts w:ascii="方正仿宋_GB2312" w:hAnsi="方正仿宋_GB2312" w:eastAsia="方正仿宋_GB2312" w:cs="方正仿宋_GB2312"/>
                <w:szCs w:val="21"/>
              </w:rPr>
            </w:pP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（注：提供系统说明书、系统功能截图、平台相关截图等证明资料，加盖投标人公章，不提供不得分）</w:t>
            </w:r>
          </w:p>
          <w:p>
            <w:pPr>
              <w:pStyle w:val="14"/>
              <w:rPr>
                <w:rFonts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5</w:t>
            </w:r>
          </w:p>
        </w:tc>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病理人才培养方案</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7</w:t>
            </w:r>
          </w:p>
        </w:tc>
        <w:tc>
          <w:tcPr>
            <w:tcW w:w="5210"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根据提供病理人才培养方案的整体质量、可行性进行打分：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1）优：服务方案的整体清晰、完善，提供包括人才培养的硬件设备、配套软件、专家支持等，配套工具完善可行性高，且高度符合项目需求的，得7分。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2）良：服务方案的整体质量方案完善，可行性高，符合项目需求，得3分。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3）中：服务方案的整体质量方案基本完整，具备一定可行性，基本符合项目需求，得1分。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4）差：服务方案的整体质量方案差，不符合项目需求，得0分。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（注：需提供配套工具说明，包括硬件及软件等，并提供至少一个成功实施案例证明材料，不提供不得分）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6</w:t>
            </w:r>
          </w:p>
        </w:tc>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质量管理支持服务能力</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6</w:t>
            </w:r>
          </w:p>
        </w:tc>
        <w:tc>
          <w:tcPr>
            <w:tcW w:w="5210"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提供质量管理体系搭建和质量管理专家指导服务，提供承诺函及实施方案：</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1）提供质量管理体系搭建服务，得2分；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2）提供地市级以上病理质控中心高级职称专家指导服务，得2分；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3）协助我院病理科开展室间质评活动，得2分。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7</w:t>
            </w:r>
          </w:p>
        </w:tc>
        <w:tc>
          <w:tcPr>
            <w:tcW w:w="208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技术服务拓展能力</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7</w:t>
            </w:r>
          </w:p>
        </w:tc>
        <w:tc>
          <w:tcPr>
            <w:tcW w:w="5210" w:type="dxa"/>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能提供地市级病理专科联盟对接、区域远程会诊和区域线上教育平台搭建服务：</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1）优：服务方案的整体清晰、完善，且高度符合项目需求的，得7分。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2）良：服务方案的整体质量方案完善，可行性高，符合项目需求，得4分。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3）中：服务方案的整体质量方案基本完整，具备一定可行性，基本符合项目需求，得2分。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4）差：服务方案的整体质量方案差，不符合项目需求，得0分。</w:t>
            </w:r>
          </w:p>
          <w:p>
            <w:pPr>
              <w:widowControl/>
              <w:jc w:val="left"/>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（注：提供系统界面截图及至少一个成功实施案例证明材料）</w:t>
            </w:r>
          </w:p>
        </w:tc>
      </w:tr>
    </w:tbl>
    <w:p>
      <w:pPr>
        <w:pStyle w:val="5"/>
        <w:rPr>
          <w:rFonts w:ascii="方正仿宋_GB2312" w:hAnsi="方正仿宋_GB2312" w:eastAsia="方正仿宋_GB2312" w:cs="方正仿宋_GB2312"/>
          <w:szCs w:val="21"/>
        </w:rPr>
      </w:pPr>
    </w:p>
    <w:p>
      <w:pPr>
        <w:pStyle w:val="5"/>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2.商务评分（40分）：</w:t>
      </w:r>
    </w:p>
    <w:tbl>
      <w:tblPr>
        <w:tblStyle w:val="15"/>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2083"/>
        <w:gridCol w:w="779"/>
        <w:gridCol w:w="5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序号</w:t>
            </w:r>
          </w:p>
        </w:tc>
        <w:tc>
          <w:tcPr>
            <w:tcW w:w="2083"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评审分项</w:t>
            </w:r>
          </w:p>
        </w:tc>
        <w:tc>
          <w:tcPr>
            <w:tcW w:w="779"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分值</w:t>
            </w:r>
          </w:p>
        </w:tc>
        <w:tc>
          <w:tcPr>
            <w:tcW w:w="520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2312" w:hAnsi="方正仿宋_GB2312" w:eastAsia="方正仿宋_GB2312" w:cs="方正仿宋_GB2312"/>
                <w:b/>
                <w:szCs w:val="21"/>
              </w:rPr>
            </w:pPr>
            <w:r>
              <w:rPr>
                <w:rFonts w:hint="eastAsia" w:ascii="方正仿宋_GB2312" w:hAnsi="方正仿宋_GB2312" w:eastAsia="方正仿宋_GB2312" w:cs="方正仿宋_GB2312"/>
                <w:b/>
                <w:szCs w:val="21"/>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w:t>
            </w: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企业认证水平</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6</w:t>
            </w:r>
          </w:p>
        </w:tc>
        <w:tc>
          <w:tcPr>
            <w:tcW w:w="5208" w:type="dxa"/>
            <w:tcBorders>
              <w:top w:val="single" w:color="auto" w:sz="4" w:space="0"/>
              <w:left w:val="single" w:color="auto" w:sz="4" w:space="0"/>
              <w:bottom w:val="single" w:color="auto" w:sz="4" w:space="0"/>
              <w:right w:val="single" w:color="auto" w:sz="4" w:space="0"/>
            </w:tcBorders>
            <w:vAlign w:val="center"/>
          </w:tcPr>
          <w:p>
            <w:pPr>
              <w:widowControl/>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 xml:space="preserve">1、具有临床基因扩增检验实验室技术审核合格证书，得3分（注：提供相关证明材料复印件并加盖供应商公章，不提供不得分）。 </w:t>
            </w:r>
          </w:p>
          <w:p>
            <w:pPr>
              <w:pStyle w:val="14"/>
              <w:widowControl/>
              <w:spacing w:after="0"/>
              <w:ind w:left="0" w:leftChars="0" w:firstLine="0" w:firstLineChars="0"/>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2、能提供分子病理项目室间质评合格证书，得3分（注：提供相关证明材料复印件并加盖供应商公章，不提供不得分）。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w:t>
            </w: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企业实力</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8</w:t>
            </w:r>
          </w:p>
        </w:tc>
        <w:tc>
          <w:tcPr>
            <w:tcW w:w="5208" w:type="dxa"/>
            <w:tcBorders>
              <w:top w:val="single" w:color="auto" w:sz="4" w:space="0"/>
              <w:left w:val="single" w:color="auto" w:sz="4" w:space="0"/>
              <w:bottom w:val="single" w:color="auto" w:sz="4" w:space="0"/>
              <w:right w:val="single" w:color="auto" w:sz="4" w:space="0"/>
            </w:tcBorders>
            <w:vAlign w:val="center"/>
          </w:tcPr>
          <w:p>
            <w:pP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具有病理病理科所需设备、试剂耗材自主生产及供应能力，能够为我院提供满足病理科建设所需的供应链资源（包括设备、检测试剂、耗材、软件等）及完善的服务，具备病理设备、试剂耗材生产、销售供应体系的得8分，仅具备部分的得3分，完全不具备的得0分（注：需提供</w:t>
            </w:r>
            <w:r>
              <w:rPr>
                <w:rFonts w:hint="eastAsia" w:ascii="方正仿宋_GB2312" w:hAnsi="方正仿宋_GB2312" w:eastAsia="方正仿宋_GB2312" w:cs="方正仿宋_GB2312"/>
              </w:rPr>
              <w:t>医疗器械生产许可证、医疗器械生产备案凭证等凭证</w:t>
            </w:r>
            <w:r>
              <w:rPr>
                <w:rFonts w:hint="eastAsia" w:ascii="方正仿宋_GB2312" w:hAnsi="方正仿宋_GB2312" w:eastAsia="方正仿宋_GB2312" w:cs="方正仿宋_GB2312"/>
                <w:szCs w:val="21"/>
              </w:rPr>
              <w:t>复印件并加盖供应商公章，不提供的不得分）。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3</w:t>
            </w: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履约能力</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6</w:t>
            </w:r>
          </w:p>
        </w:tc>
        <w:tc>
          <w:tcPr>
            <w:tcW w:w="5208" w:type="dxa"/>
            <w:tcBorders>
              <w:top w:val="single" w:color="auto" w:sz="4" w:space="0"/>
              <w:left w:val="single" w:color="auto" w:sz="4" w:space="0"/>
              <w:bottom w:val="single" w:color="auto" w:sz="4" w:space="0"/>
              <w:right w:val="single" w:color="auto" w:sz="4" w:space="0"/>
            </w:tcBorders>
            <w:vAlign w:val="center"/>
          </w:tcPr>
          <w:p>
            <w:pPr>
              <w:widowControl/>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提供近三年内具有同类型病理科合作共建项目业绩，每提供一个得2分，最高得6分（注：提供合同关键页复印件或中标通知书）。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4</w:t>
            </w:r>
          </w:p>
        </w:tc>
        <w:tc>
          <w:tcPr>
            <w:tcW w:w="20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报价</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20</w:t>
            </w:r>
          </w:p>
        </w:tc>
        <w:tc>
          <w:tcPr>
            <w:tcW w:w="5208" w:type="dxa"/>
            <w:tcBorders>
              <w:top w:val="single" w:color="auto" w:sz="4" w:space="0"/>
              <w:left w:val="single" w:color="auto" w:sz="4" w:space="0"/>
              <w:bottom w:val="single" w:color="auto" w:sz="4" w:space="0"/>
              <w:right w:val="single" w:color="auto" w:sz="4" w:space="0"/>
            </w:tcBorders>
            <w:vAlign w:val="center"/>
          </w:tcPr>
          <w:p>
            <w:pPr>
              <w:widowControl/>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按照合作项目总收入占比（百分比）的方式进行报价评估，所有有效的报价中，排名第一者（最低者）作为基准报价，在基准报价基础上每提高5%（不足5%按5%计算）扣1分，报价最低者得20分。</w:t>
            </w:r>
          </w:p>
        </w:tc>
      </w:tr>
    </w:tbl>
    <w:p>
      <w:pPr>
        <w:ind w:firstLine="420" w:firstLineChars="200"/>
        <w:rPr>
          <w:rFonts w:ascii="方正仿宋_GB2312" w:hAnsi="方正仿宋_GB2312" w:eastAsia="方正仿宋_GB2312" w:cs="方正仿宋_GB2312"/>
          <w:szCs w:val="21"/>
        </w:rPr>
      </w:pPr>
    </w:p>
    <w:p>
      <w:pPr>
        <w:pStyle w:val="7"/>
        <w:rPr>
          <w:rFonts w:ascii="方正仿宋_GB2312" w:hAnsi="方正仿宋_GB2312" w:eastAsia="方正仿宋_GB2312" w:cs="方正仿宋_GB2312"/>
        </w:rPr>
      </w:pPr>
    </w:p>
    <w:p>
      <w:pPr>
        <w:pStyle w:val="14"/>
        <w:ind w:left="0" w:leftChars="0" w:firstLine="0" w:firstLineChars="0"/>
        <w:rPr>
          <w:rFonts w:ascii="方正仿宋_GB2312" w:hAnsi="方正仿宋_GB2312" w:eastAsia="方正仿宋_GB2312" w:cs="方正仿宋_GB2312"/>
        </w:rPr>
      </w:pPr>
    </w:p>
    <w:p>
      <w:pPr>
        <w:pStyle w:val="14"/>
        <w:ind w:left="0" w:leftChars="0" w:firstLine="0" w:firstLineChars="0"/>
        <w:rPr>
          <w:rFonts w:ascii="方正仿宋_GB2312" w:hAnsi="方正仿宋_GB2312" w:eastAsia="方正仿宋_GB2312" w:cs="方正仿宋_GB2312"/>
        </w:rPr>
      </w:pPr>
    </w:p>
    <w:p>
      <w:pPr>
        <w:pStyle w:val="14"/>
        <w:ind w:left="0" w:leftChars="0" w:firstLine="0" w:firstLineChars="0"/>
        <w:rPr>
          <w:rFonts w:ascii="方正仿宋_GB2312" w:hAnsi="方正仿宋_GB2312" w:eastAsia="方正仿宋_GB2312" w:cs="方正仿宋_GB2312"/>
        </w:rPr>
      </w:pPr>
    </w:p>
    <w:p>
      <w:pPr>
        <w:pStyle w:val="14"/>
        <w:ind w:left="0" w:leftChars="0" w:firstLine="0" w:firstLineChars="0"/>
        <w:rPr>
          <w:rFonts w:ascii="方正仿宋_GB2312" w:hAnsi="方正仿宋_GB2312" w:eastAsia="方正仿宋_GB2312" w:cs="方正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embedRegular r:id="rId1" w:fontKey="{1535A10D-52C7-45B5-A670-9A04563AD577}"/>
  </w:font>
  <w:font w:name="方正仿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32DBD"/>
    <w:multiLevelType w:val="singleLevel"/>
    <w:tmpl w:val="FBF32DBD"/>
    <w:lvl w:ilvl="0" w:tentative="0">
      <w:start w:val="1"/>
      <w:numFmt w:val="decimal"/>
      <w:suff w:val="nothing"/>
      <w:lvlText w:val="%1）"/>
      <w:lvlJc w:val="left"/>
    </w:lvl>
  </w:abstractNum>
  <w:abstractNum w:abstractNumId="1">
    <w:nsid w:val="3531449E"/>
    <w:multiLevelType w:val="multilevel"/>
    <w:tmpl w:val="3531449E"/>
    <w:lvl w:ilvl="0" w:tentative="0">
      <w:start w:val="1"/>
      <w:numFmt w:val="japaneseCounting"/>
      <w:pStyle w:val="19"/>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mFlYzY1OGIxMzgzZjM5MDBjMjNiMGVmZDY5MTgifQ=="/>
  </w:docVars>
  <w:rsids>
    <w:rsidRoot w:val="000B2080"/>
    <w:rsid w:val="000469D0"/>
    <w:rsid w:val="000B2080"/>
    <w:rsid w:val="000C4992"/>
    <w:rsid w:val="0012706C"/>
    <w:rsid w:val="00184910"/>
    <w:rsid w:val="00200625"/>
    <w:rsid w:val="0021037F"/>
    <w:rsid w:val="0027289C"/>
    <w:rsid w:val="00286874"/>
    <w:rsid w:val="00290DB9"/>
    <w:rsid w:val="002A7E9E"/>
    <w:rsid w:val="002F60AD"/>
    <w:rsid w:val="00304BBC"/>
    <w:rsid w:val="0036102C"/>
    <w:rsid w:val="00366BE2"/>
    <w:rsid w:val="0037065E"/>
    <w:rsid w:val="00400620"/>
    <w:rsid w:val="00402111"/>
    <w:rsid w:val="004813B3"/>
    <w:rsid w:val="004908A2"/>
    <w:rsid w:val="004E6B20"/>
    <w:rsid w:val="005916ED"/>
    <w:rsid w:val="00594DFA"/>
    <w:rsid w:val="005E1FD1"/>
    <w:rsid w:val="0061462B"/>
    <w:rsid w:val="006311DC"/>
    <w:rsid w:val="0063361F"/>
    <w:rsid w:val="0065455F"/>
    <w:rsid w:val="00704ABE"/>
    <w:rsid w:val="007A3B19"/>
    <w:rsid w:val="007C3652"/>
    <w:rsid w:val="008248D3"/>
    <w:rsid w:val="0084326E"/>
    <w:rsid w:val="0085087D"/>
    <w:rsid w:val="009E6D55"/>
    <w:rsid w:val="00A172B5"/>
    <w:rsid w:val="00A25D29"/>
    <w:rsid w:val="00AB76D1"/>
    <w:rsid w:val="00AC546D"/>
    <w:rsid w:val="00AD4A46"/>
    <w:rsid w:val="00AE2F38"/>
    <w:rsid w:val="00BB1C4C"/>
    <w:rsid w:val="00C17BC5"/>
    <w:rsid w:val="00C479E3"/>
    <w:rsid w:val="00CB1306"/>
    <w:rsid w:val="00CC0883"/>
    <w:rsid w:val="00CD05C4"/>
    <w:rsid w:val="00D33EFD"/>
    <w:rsid w:val="00D75A21"/>
    <w:rsid w:val="00E0706F"/>
    <w:rsid w:val="00E25E7B"/>
    <w:rsid w:val="00E536D3"/>
    <w:rsid w:val="00E66137"/>
    <w:rsid w:val="00E73F02"/>
    <w:rsid w:val="00F84043"/>
    <w:rsid w:val="00FD13DB"/>
    <w:rsid w:val="012D0B24"/>
    <w:rsid w:val="02623C91"/>
    <w:rsid w:val="060C2D53"/>
    <w:rsid w:val="065F2230"/>
    <w:rsid w:val="07541C4C"/>
    <w:rsid w:val="091066B6"/>
    <w:rsid w:val="0E43308A"/>
    <w:rsid w:val="0EAC72B4"/>
    <w:rsid w:val="14131318"/>
    <w:rsid w:val="174340FA"/>
    <w:rsid w:val="18C3272C"/>
    <w:rsid w:val="1BA138A9"/>
    <w:rsid w:val="1C626F78"/>
    <w:rsid w:val="1E081BFA"/>
    <w:rsid w:val="1EFD54D7"/>
    <w:rsid w:val="204004F3"/>
    <w:rsid w:val="20466AB8"/>
    <w:rsid w:val="216E6218"/>
    <w:rsid w:val="21CE3395"/>
    <w:rsid w:val="23382D61"/>
    <w:rsid w:val="254F010E"/>
    <w:rsid w:val="267A2F9B"/>
    <w:rsid w:val="297B03A1"/>
    <w:rsid w:val="2E456552"/>
    <w:rsid w:val="305B205D"/>
    <w:rsid w:val="31C01C2C"/>
    <w:rsid w:val="333577B6"/>
    <w:rsid w:val="34D04DC8"/>
    <w:rsid w:val="38327B47"/>
    <w:rsid w:val="3A43798C"/>
    <w:rsid w:val="3A6A006E"/>
    <w:rsid w:val="3C1047C3"/>
    <w:rsid w:val="3E4055E5"/>
    <w:rsid w:val="3F972772"/>
    <w:rsid w:val="40026051"/>
    <w:rsid w:val="41E158E5"/>
    <w:rsid w:val="44421D0B"/>
    <w:rsid w:val="46640BA5"/>
    <w:rsid w:val="47146A61"/>
    <w:rsid w:val="47816FA8"/>
    <w:rsid w:val="47C75C4C"/>
    <w:rsid w:val="4A834233"/>
    <w:rsid w:val="4C027527"/>
    <w:rsid w:val="4D307E1B"/>
    <w:rsid w:val="4F74451D"/>
    <w:rsid w:val="4FCA2588"/>
    <w:rsid w:val="4FD01A82"/>
    <w:rsid w:val="52CD2703"/>
    <w:rsid w:val="53A46F38"/>
    <w:rsid w:val="5D2034AA"/>
    <w:rsid w:val="5EDB3860"/>
    <w:rsid w:val="60DF596B"/>
    <w:rsid w:val="619E04DC"/>
    <w:rsid w:val="625D436D"/>
    <w:rsid w:val="6436770E"/>
    <w:rsid w:val="65167D25"/>
    <w:rsid w:val="664B1C51"/>
    <w:rsid w:val="6804459F"/>
    <w:rsid w:val="68204A23"/>
    <w:rsid w:val="683F57E5"/>
    <w:rsid w:val="6F3F7239"/>
    <w:rsid w:val="6FA84567"/>
    <w:rsid w:val="72C77E07"/>
    <w:rsid w:val="76F81981"/>
    <w:rsid w:val="78EE142F"/>
    <w:rsid w:val="7C547659"/>
    <w:rsid w:val="7C6E1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2"/>
    <w:autoRedefine/>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23"/>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semiHidden/>
    <w:unhideWhenUsed/>
    <w:qFormat/>
    <w:uiPriority w:val="99"/>
    <w:pPr>
      <w:ind w:firstLine="420" w:firstLineChars="200"/>
    </w:pPr>
  </w:style>
  <w:style w:type="paragraph" w:styleId="6">
    <w:name w:val="annotation text"/>
    <w:basedOn w:val="1"/>
    <w:link w:val="29"/>
    <w:autoRedefine/>
    <w:semiHidden/>
    <w:unhideWhenUsed/>
    <w:qFormat/>
    <w:uiPriority w:val="99"/>
    <w:pPr>
      <w:jc w:val="left"/>
    </w:pPr>
  </w:style>
  <w:style w:type="paragraph" w:styleId="7">
    <w:name w:val="Body Text"/>
    <w:basedOn w:val="1"/>
    <w:link w:val="27"/>
    <w:autoRedefine/>
    <w:qFormat/>
    <w:uiPriority w:val="1"/>
    <w:pPr>
      <w:autoSpaceDE w:val="0"/>
      <w:autoSpaceDN w:val="0"/>
      <w:jc w:val="left"/>
    </w:pPr>
    <w:rPr>
      <w:rFonts w:ascii="宋体" w:hAnsi="宋体" w:eastAsia="宋体" w:cs="宋体"/>
      <w:kern w:val="0"/>
      <w:sz w:val="19"/>
      <w:szCs w:val="19"/>
      <w:lang w:val="zh-CN" w:bidi="zh-CN"/>
    </w:rPr>
  </w:style>
  <w:style w:type="paragraph" w:styleId="8">
    <w:name w:val="Body Text Indent"/>
    <w:basedOn w:val="1"/>
    <w:autoRedefine/>
    <w:qFormat/>
    <w:uiPriority w:val="0"/>
    <w:pPr>
      <w:ind w:firstLine="830" w:firstLineChars="352"/>
    </w:pPr>
    <w:rPr>
      <w:rFonts w:ascii="仿宋_GB2312" w:eastAsia="仿宋_GB2312"/>
      <w:sz w:val="32"/>
      <w:szCs w:val="20"/>
    </w:rPr>
  </w:style>
  <w:style w:type="paragraph" w:styleId="9">
    <w:name w:val="Plain Text"/>
    <w:basedOn w:val="1"/>
    <w:link w:val="24"/>
    <w:autoRedefine/>
    <w:qFormat/>
    <w:uiPriority w:val="0"/>
    <w:rPr>
      <w:rFonts w:ascii="宋体" w:hAnsi="Courier New" w:eastAsia="宋体" w:cs="Courier New"/>
      <w:szCs w:val="21"/>
    </w:rPr>
  </w:style>
  <w:style w:type="paragraph" w:styleId="10">
    <w:name w:val="Balloon Text"/>
    <w:basedOn w:val="1"/>
    <w:link w:val="31"/>
    <w:autoRedefine/>
    <w:semiHidden/>
    <w:unhideWhenUsed/>
    <w:qFormat/>
    <w:uiPriority w:val="99"/>
    <w:rPr>
      <w:sz w:val="18"/>
      <w:szCs w:val="18"/>
    </w:r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annotation subject"/>
    <w:basedOn w:val="6"/>
    <w:next w:val="6"/>
    <w:link w:val="30"/>
    <w:autoRedefine/>
    <w:semiHidden/>
    <w:unhideWhenUsed/>
    <w:qFormat/>
    <w:uiPriority w:val="99"/>
    <w:rPr>
      <w:b/>
      <w:bCs/>
    </w:rPr>
  </w:style>
  <w:style w:type="paragraph" w:styleId="14">
    <w:name w:val="Body Text First Indent 2"/>
    <w:basedOn w:val="8"/>
    <w:autoRedefine/>
    <w:unhideWhenUsed/>
    <w:qFormat/>
    <w:uiPriority w:val="99"/>
    <w:pPr>
      <w:spacing w:after="120"/>
      <w:ind w:left="420" w:leftChars="200" w:firstLine="420" w:firstLineChars="200"/>
    </w:pPr>
    <w:rPr>
      <w:sz w:val="21"/>
      <w:szCs w:val="24"/>
    </w:rPr>
  </w:style>
  <w:style w:type="table" w:styleId="16">
    <w:name w:val="Table Grid"/>
    <w:basedOn w:val="1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autoRedefine/>
    <w:semiHidden/>
    <w:unhideWhenUsed/>
    <w:qFormat/>
    <w:uiPriority w:val="99"/>
    <w:rPr>
      <w:sz w:val="21"/>
      <w:szCs w:val="21"/>
    </w:rPr>
  </w:style>
  <w:style w:type="paragraph" w:styleId="19">
    <w:name w:val="List Paragraph"/>
    <w:basedOn w:val="1"/>
    <w:link w:val="25"/>
    <w:autoRedefine/>
    <w:qFormat/>
    <w:uiPriority w:val="99"/>
    <w:pPr>
      <w:numPr>
        <w:ilvl w:val="0"/>
        <w:numId w:val="1"/>
      </w:numPr>
      <w:jc w:val="left"/>
    </w:pPr>
    <w:rPr>
      <w:rFonts w:ascii="宋体" w:hAnsi="宋体" w:eastAsia="宋体" w:cs="宋体"/>
      <w:b/>
      <w:sz w:val="32"/>
      <w:szCs w:val="32"/>
    </w:rPr>
  </w:style>
  <w:style w:type="character" w:customStyle="1" w:styleId="20">
    <w:name w:val="样式 正文缩进 + 首行缩进:  2 字符 Char"/>
    <w:link w:val="21"/>
    <w:qFormat/>
    <w:uiPriority w:val="0"/>
    <w:rPr>
      <w:rFonts w:eastAsia="宋体"/>
      <w:sz w:val="24"/>
    </w:rPr>
  </w:style>
  <w:style w:type="paragraph" w:customStyle="1" w:styleId="21">
    <w:name w:val="样式 正文缩进 + 首行缩进:  2 字符"/>
    <w:basedOn w:val="5"/>
    <w:link w:val="20"/>
    <w:autoRedefine/>
    <w:qFormat/>
    <w:uiPriority w:val="0"/>
    <w:pPr>
      <w:spacing w:line="360" w:lineRule="auto"/>
      <w:ind w:firstLine="200"/>
    </w:pPr>
    <w:rPr>
      <w:rFonts w:eastAsia="宋体"/>
      <w:sz w:val="24"/>
    </w:rPr>
  </w:style>
  <w:style w:type="character" w:customStyle="1" w:styleId="22">
    <w:name w:val="标题 1 Char"/>
    <w:basedOn w:val="17"/>
    <w:link w:val="3"/>
    <w:autoRedefine/>
    <w:qFormat/>
    <w:uiPriority w:val="0"/>
    <w:rPr>
      <w:rFonts w:ascii="Calibri" w:hAnsi="Calibri" w:eastAsia="宋体" w:cs="Times New Roman"/>
      <w:b/>
      <w:bCs/>
      <w:kern w:val="44"/>
      <w:sz w:val="44"/>
      <w:szCs w:val="44"/>
    </w:rPr>
  </w:style>
  <w:style w:type="character" w:customStyle="1" w:styleId="23">
    <w:name w:val="标题 2 Char"/>
    <w:basedOn w:val="17"/>
    <w:link w:val="4"/>
    <w:autoRedefine/>
    <w:qFormat/>
    <w:uiPriority w:val="9"/>
    <w:rPr>
      <w:rFonts w:asciiTheme="majorHAnsi" w:hAnsiTheme="majorHAnsi" w:eastAsiaTheme="majorEastAsia" w:cstheme="majorBidi"/>
      <w:b/>
      <w:bCs/>
      <w:sz w:val="32"/>
      <w:szCs w:val="32"/>
    </w:rPr>
  </w:style>
  <w:style w:type="character" w:customStyle="1" w:styleId="24">
    <w:name w:val="纯文本 Char"/>
    <w:basedOn w:val="17"/>
    <w:link w:val="9"/>
    <w:qFormat/>
    <w:uiPriority w:val="0"/>
    <w:rPr>
      <w:rFonts w:ascii="宋体" w:hAnsi="Courier New" w:eastAsia="宋体" w:cs="Courier New"/>
      <w:szCs w:val="21"/>
    </w:rPr>
  </w:style>
  <w:style w:type="character" w:customStyle="1" w:styleId="25">
    <w:name w:val="列出段落 Char"/>
    <w:link w:val="19"/>
    <w:autoRedefine/>
    <w:qFormat/>
    <w:uiPriority w:val="99"/>
    <w:rPr>
      <w:rFonts w:ascii="宋体" w:hAnsi="宋体" w:cs="宋体"/>
      <w:b/>
      <w:kern w:val="2"/>
      <w:sz w:val="32"/>
      <w:szCs w:val="32"/>
    </w:rPr>
  </w:style>
  <w:style w:type="table" w:customStyle="1" w:styleId="26">
    <w:name w:val="Table Normal"/>
    <w:autoRedefine/>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27">
    <w:name w:val="正文文本 Char"/>
    <w:basedOn w:val="17"/>
    <w:link w:val="7"/>
    <w:autoRedefine/>
    <w:qFormat/>
    <w:uiPriority w:val="1"/>
    <w:rPr>
      <w:rFonts w:ascii="宋体" w:hAnsi="宋体" w:eastAsia="宋体" w:cs="宋体"/>
      <w:sz w:val="19"/>
      <w:szCs w:val="19"/>
      <w:lang w:val="zh-CN" w:bidi="zh-CN"/>
    </w:rPr>
  </w:style>
  <w:style w:type="paragraph" w:customStyle="1" w:styleId="28">
    <w:name w:val="Table Paragraph"/>
    <w:basedOn w:val="1"/>
    <w:autoRedefine/>
    <w:qFormat/>
    <w:uiPriority w:val="1"/>
    <w:pPr>
      <w:autoSpaceDE w:val="0"/>
      <w:autoSpaceDN w:val="0"/>
      <w:jc w:val="left"/>
    </w:pPr>
    <w:rPr>
      <w:rFonts w:ascii="宋体" w:hAnsi="宋体" w:eastAsia="宋体" w:cs="宋体"/>
      <w:kern w:val="0"/>
      <w:sz w:val="22"/>
      <w:szCs w:val="22"/>
      <w:lang w:val="zh-CN" w:bidi="zh-CN"/>
    </w:rPr>
  </w:style>
  <w:style w:type="character" w:customStyle="1" w:styleId="29">
    <w:name w:val="批注文字 Char"/>
    <w:basedOn w:val="17"/>
    <w:link w:val="6"/>
    <w:autoRedefine/>
    <w:semiHidden/>
    <w:qFormat/>
    <w:uiPriority w:val="99"/>
    <w:rPr>
      <w:rFonts w:asciiTheme="minorHAnsi" w:hAnsiTheme="minorHAnsi" w:eastAsiaTheme="minorEastAsia" w:cstheme="minorBidi"/>
      <w:kern w:val="2"/>
      <w:sz w:val="21"/>
      <w:szCs w:val="24"/>
    </w:rPr>
  </w:style>
  <w:style w:type="character" w:customStyle="1" w:styleId="30">
    <w:name w:val="批注主题 Char"/>
    <w:basedOn w:val="29"/>
    <w:link w:val="13"/>
    <w:semiHidden/>
    <w:qFormat/>
    <w:uiPriority w:val="99"/>
    <w:rPr>
      <w:rFonts w:asciiTheme="minorHAnsi" w:hAnsiTheme="minorHAnsi" w:eastAsiaTheme="minorEastAsia" w:cstheme="minorBidi"/>
      <w:b/>
      <w:bCs/>
      <w:kern w:val="2"/>
      <w:sz w:val="21"/>
      <w:szCs w:val="24"/>
    </w:rPr>
  </w:style>
  <w:style w:type="character" w:customStyle="1" w:styleId="31">
    <w:name w:val="批注框文本 Char"/>
    <w:basedOn w:val="17"/>
    <w:link w:val="10"/>
    <w:autoRedefine/>
    <w:semiHidden/>
    <w:qFormat/>
    <w:uiPriority w:val="99"/>
    <w:rPr>
      <w:rFonts w:asciiTheme="minorHAnsi" w:hAnsiTheme="minorHAnsi" w:eastAsiaTheme="minorEastAsia" w:cstheme="minorBidi"/>
      <w:kern w:val="2"/>
      <w:sz w:val="18"/>
      <w:szCs w:val="18"/>
    </w:rPr>
  </w:style>
  <w:style w:type="paragraph" w:customStyle="1" w:styleId="32">
    <w:name w:val="正文缩进1"/>
    <w:basedOn w:val="1"/>
    <w:autoRedefine/>
    <w:qFormat/>
    <w:uiPriority w:val="0"/>
    <w:pPr>
      <w:ind w:firstLine="420"/>
    </w:pPr>
    <w:rPr>
      <w:szCs w:val="20"/>
    </w:rPr>
  </w:style>
  <w:style w:type="character" w:customStyle="1" w:styleId="33">
    <w:name w:val="页码1"/>
    <w:autoRedefine/>
    <w:qFormat/>
    <w:uiPriority w:val="0"/>
  </w:style>
  <w:style w:type="paragraph" w:customStyle="1" w:styleId="34">
    <w:name w:val="1"/>
    <w:basedOn w:val="1"/>
    <w:next w:val="9"/>
    <w:autoRedefine/>
    <w:qFormat/>
    <w:uiPriority w:val="99"/>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491</Words>
  <Characters>2802</Characters>
  <Lines>23</Lines>
  <Paragraphs>6</Paragraphs>
  <TotalTime>33</TotalTime>
  <ScaleCrop>false</ScaleCrop>
  <LinksUpToDate>false</LinksUpToDate>
  <CharactersWithSpaces>3287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2022-07-29T09:09:00Z</dcterms:created>
  <dc:creator>xb21cn</dc:creator>
  <cp:lastModifiedBy>虎晓燕</cp:lastModifiedBy>
  <dcterms:modified xsi:type="dcterms:W3CDTF">2024-01-23T08:04:37Z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2E4F163AF06C43CDA2E0EC339B73C40E_13</vt:lpwstr>
  </property>
</Properties>
</file>