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2437"/>
      <w:bookmarkStart w:id="3" w:name="_Toc15377425"/>
      <w:bookmarkStart w:id="4" w:name="_Toc15377193"/>
      <w:bookmarkStart w:id="5" w:name="_Toc23053"/>
      <w:bookmarkStart w:id="6" w:name="_Toc15378441"/>
      <w:bookmarkStart w:id="7"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bookmarkStart w:id="8" w:name="_Toc15377426"/>
      <w:bookmarkStart w:id="9" w:name="_Toc15377194"/>
      <w:bookmarkStart w:id="10" w:name="_Toc15396598"/>
      <w:bookmarkStart w:id="11" w:name="_Toc15378442"/>
      <w:bookmarkStart w:id="12" w:name="_Toc15396476"/>
    </w:p>
    <w:p>
      <w:pPr>
        <w:adjustRightInd w:val="0"/>
        <w:snapToGrid w:val="0"/>
        <w:spacing w:line="360" w:lineRule="auto"/>
        <w:jc w:val="center"/>
        <w:outlineLvl w:val="0"/>
        <w:rPr>
          <w:rFonts w:ascii="仿宋" w:hAnsi="仿宋" w:eastAsia="仿宋"/>
          <w:bCs/>
          <w:color w:val="auto"/>
          <w:kern w:val="44"/>
          <w:sz w:val="24"/>
          <w:highlight w:val="none"/>
        </w:rPr>
      </w:pPr>
      <w:bookmarkStart w:id="13" w:name="_Toc29479"/>
      <w:bookmarkStart w:id="14" w:name="_Toc9580"/>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lang w:eastAsia="zh-CN"/>
        </w:rPr>
        <w:t>攀枝花市第二人民医院单位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5"/>
      <w:r>
        <w:rPr>
          <w:rFonts w:ascii="方正小标宋简体" w:hAnsi="宋体" w:eastAsia="方正小标宋简体"/>
          <w:color w:val="auto"/>
          <w:sz w:val="36"/>
          <w:szCs w:val="36"/>
          <w:highlight w:val="none"/>
        </w:rPr>
        <w:br w:type="page"/>
      </w:r>
      <w:bookmarkEnd w:id="13"/>
      <w:bookmarkEnd w:id="14"/>
      <w:bookmarkStart w:id="16" w:name="_Toc15396599"/>
      <w:bookmarkStart w:id="17" w:name="_Toc15377196"/>
    </w:p>
    <w:sdt>
      <w:sdtPr>
        <w:rPr>
          <w:rFonts w:ascii="宋体" w:hAnsi="宋体" w:eastAsia="宋体" w:cs="Times New Roman"/>
          <w:kern w:val="2"/>
          <w:sz w:val="21"/>
          <w:szCs w:val="24"/>
          <w:lang w:val="en-US" w:eastAsia="zh-CN" w:bidi="ar-SA"/>
        </w:rPr>
        <w:id w:val="14745249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44"/>
              <w:szCs w:val="44"/>
            </w:rPr>
          </w:pPr>
          <w:bookmarkStart w:id="18" w:name="_Toc1809"/>
          <w:r>
            <w:rPr>
              <w:rFonts w:ascii="宋体" w:hAnsi="宋体" w:eastAsia="宋体"/>
              <w:b/>
              <w:bCs/>
              <w:sz w:val="44"/>
              <w:szCs w:val="44"/>
            </w:rPr>
            <w:t>目录</w:t>
          </w:r>
        </w:p>
        <w:p>
          <w:pPr>
            <w:pStyle w:val="10"/>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pStyle w:val="30"/>
            <w:tabs>
              <w:tab w:val="right" w:leader="dot" w:pos="8306"/>
            </w:tabs>
            <w:rPr>
              <w:b/>
              <w:sz w:val="28"/>
              <w:szCs w:val="28"/>
            </w:rPr>
          </w:pPr>
          <w:r>
            <w:fldChar w:fldCharType="begin"/>
          </w:r>
          <w:r>
            <w:instrText xml:space="preserve">TOC \o "1-2" \h \u </w:instrText>
          </w:r>
          <w:r>
            <w:fldChar w:fldCharType="separate"/>
          </w:r>
          <w:r>
            <w:rPr>
              <w:rFonts w:hint="eastAsia"/>
              <w:b/>
              <w:sz w:val="28"/>
              <w:szCs w:val="28"/>
              <w:lang w:val="en-US" w:eastAsia="zh-CN"/>
            </w:rPr>
            <w:t>2021年度</w:t>
          </w:r>
          <w:r>
            <w:rPr>
              <w:b/>
              <w:sz w:val="28"/>
              <w:szCs w:val="28"/>
            </w:rPr>
            <w:fldChar w:fldCharType="begin"/>
          </w:r>
          <w:r>
            <w:rPr>
              <w:b/>
              <w:sz w:val="28"/>
              <w:szCs w:val="28"/>
            </w:rPr>
            <w:instrText xml:space="preserve"> HYPERLINK \l _Toc9580 </w:instrText>
          </w:r>
          <w:r>
            <w:rPr>
              <w:b/>
              <w:sz w:val="28"/>
              <w:szCs w:val="28"/>
            </w:rPr>
            <w:fldChar w:fldCharType="separate"/>
          </w:r>
          <w:r>
            <w:rPr>
              <w:rFonts w:hint="eastAsia" w:ascii="方正小标宋简体" w:hAnsi="方正小标宋简体" w:eastAsia="方正小标宋简体" w:cs="方正小标宋简体"/>
              <w:b/>
              <w:sz w:val="28"/>
              <w:szCs w:val="28"/>
              <w:highlight w:val="none"/>
            </w:rPr>
            <w:t>四川省</w:t>
          </w:r>
          <w:r>
            <w:rPr>
              <w:rFonts w:hint="eastAsia" w:ascii="方正小标宋简体" w:hAnsi="方正小标宋简体" w:eastAsia="方正小标宋简体" w:cs="方正小标宋简体"/>
              <w:b/>
              <w:sz w:val="28"/>
              <w:szCs w:val="28"/>
              <w:highlight w:val="none"/>
              <w:lang w:eastAsia="zh-CN"/>
            </w:rPr>
            <w:t>攀枝花市第二人民医院单位</w:t>
          </w:r>
          <w:r>
            <w:rPr>
              <w:rFonts w:hint="eastAsia" w:ascii="方正小标宋简体" w:hAnsi="方正小标宋简体" w:eastAsia="方正小标宋简体" w:cs="方正小标宋简体"/>
              <w:b/>
              <w:sz w:val="28"/>
              <w:szCs w:val="28"/>
              <w:highlight w:val="none"/>
            </w:rPr>
            <w:t>决算</w:t>
          </w:r>
          <w:r>
            <w:rPr>
              <w:b/>
              <w:sz w:val="28"/>
              <w:szCs w:val="28"/>
            </w:rPr>
            <w:tab/>
          </w:r>
          <w:r>
            <w:rPr>
              <w:b/>
              <w:sz w:val="28"/>
              <w:szCs w:val="28"/>
            </w:rPr>
            <w:fldChar w:fldCharType="begin"/>
          </w:r>
          <w:r>
            <w:rPr>
              <w:b/>
              <w:sz w:val="28"/>
              <w:szCs w:val="28"/>
            </w:rPr>
            <w:instrText xml:space="preserve"> PAGEREF _Toc9580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30"/>
            <w:tabs>
              <w:tab w:val="right" w:leader="dot" w:pos="8306"/>
            </w:tabs>
            <w:rPr>
              <w:b/>
              <w:sz w:val="28"/>
              <w:szCs w:val="28"/>
            </w:rPr>
          </w:pPr>
          <w:r>
            <w:rPr>
              <w:b/>
              <w:sz w:val="28"/>
              <w:szCs w:val="28"/>
            </w:rPr>
            <w:fldChar w:fldCharType="begin"/>
          </w:r>
          <w:r>
            <w:rPr>
              <w:b/>
              <w:sz w:val="28"/>
              <w:szCs w:val="28"/>
            </w:rPr>
            <w:instrText xml:space="preserve"> HYPERLINK \l _Toc3341 </w:instrText>
          </w:r>
          <w:r>
            <w:rPr>
              <w:b/>
              <w:sz w:val="28"/>
              <w:szCs w:val="28"/>
            </w:rPr>
            <w:fldChar w:fldCharType="separate"/>
          </w:r>
          <w:r>
            <w:rPr>
              <w:rFonts w:hint="eastAsia" w:ascii="黑体" w:hAnsi="黑体" w:eastAsia="黑体"/>
              <w:b/>
              <w:sz w:val="28"/>
              <w:szCs w:val="28"/>
              <w:highlight w:val="none"/>
            </w:rPr>
            <w:t xml:space="preserve">第一部分 </w:t>
          </w:r>
          <w:r>
            <w:rPr>
              <w:rFonts w:hint="eastAsia" w:ascii="黑体" w:hAnsi="黑体" w:eastAsia="黑体"/>
              <w:b/>
              <w:sz w:val="28"/>
              <w:szCs w:val="28"/>
              <w:highlight w:val="none"/>
              <w:lang w:eastAsia="zh-CN"/>
            </w:rPr>
            <w:t>单位</w:t>
          </w:r>
          <w:r>
            <w:rPr>
              <w:rFonts w:hint="eastAsia" w:ascii="黑体" w:hAnsi="黑体" w:eastAsia="黑体"/>
              <w:b/>
              <w:bCs w:val="0"/>
              <w:sz w:val="28"/>
              <w:szCs w:val="28"/>
              <w:highlight w:val="none"/>
            </w:rPr>
            <w:t>概况</w:t>
          </w:r>
          <w:r>
            <w:rPr>
              <w:b/>
              <w:sz w:val="28"/>
              <w:szCs w:val="28"/>
            </w:rPr>
            <w:tab/>
          </w:r>
          <w:r>
            <w:rPr>
              <w:b/>
              <w:sz w:val="28"/>
              <w:szCs w:val="28"/>
            </w:rPr>
            <w:fldChar w:fldCharType="begin"/>
          </w:r>
          <w:r>
            <w:rPr>
              <w:b/>
              <w:sz w:val="28"/>
              <w:szCs w:val="28"/>
            </w:rPr>
            <w:instrText xml:space="preserve"> PAGEREF _Toc3341 </w:instrText>
          </w:r>
          <w:r>
            <w:rPr>
              <w:b/>
              <w:sz w:val="28"/>
              <w:szCs w:val="28"/>
            </w:rPr>
            <w:fldChar w:fldCharType="separate"/>
          </w:r>
          <w:r>
            <w:rPr>
              <w:b/>
              <w:sz w:val="28"/>
              <w:szCs w:val="28"/>
            </w:rPr>
            <w:t>4</w:t>
          </w:r>
          <w:r>
            <w:rPr>
              <w:b/>
              <w:sz w:val="28"/>
              <w:szCs w:val="28"/>
            </w:rPr>
            <w:fldChar w:fldCharType="end"/>
          </w:r>
          <w:r>
            <w:rPr>
              <w:b/>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_Toc20626 </w:instrText>
          </w:r>
          <w:r>
            <w:rPr>
              <w:sz w:val="28"/>
              <w:szCs w:val="28"/>
            </w:rPr>
            <w:fldChar w:fldCharType="separate"/>
          </w:r>
          <w:r>
            <w:rPr>
              <w:rFonts w:hint="eastAsia" w:ascii="黑体" w:hAnsi="黑体" w:eastAsia="黑体"/>
              <w:bCs w:val="0"/>
              <w:sz w:val="28"/>
              <w:szCs w:val="28"/>
              <w:lang w:eastAsia="zh-CN"/>
            </w:rPr>
            <w:t xml:space="preserve">一、 </w:t>
          </w:r>
          <w:r>
            <w:rPr>
              <w:rFonts w:hint="eastAsia" w:ascii="黑体" w:hAnsi="黑体" w:eastAsia="黑体"/>
              <w:bCs w:val="0"/>
              <w:sz w:val="28"/>
              <w:szCs w:val="28"/>
              <w:highlight w:val="none"/>
            </w:rPr>
            <w:t>职能</w:t>
          </w:r>
          <w:r>
            <w:rPr>
              <w:rFonts w:hint="eastAsia" w:ascii="黑体" w:hAnsi="黑体" w:eastAsia="黑体"/>
              <w:bCs w:val="0"/>
              <w:sz w:val="28"/>
              <w:szCs w:val="28"/>
              <w:highlight w:val="none"/>
              <w:lang w:eastAsia="zh-CN"/>
            </w:rPr>
            <w:t>简介</w:t>
          </w:r>
          <w:r>
            <w:rPr>
              <w:sz w:val="28"/>
              <w:szCs w:val="28"/>
            </w:rPr>
            <w:tab/>
          </w:r>
          <w:r>
            <w:rPr>
              <w:sz w:val="28"/>
              <w:szCs w:val="28"/>
            </w:rPr>
            <w:fldChar w:fldCharType="begin"/>
          </w:r>
          <w:r>
            <w:rPr>
              <w:sz w:val="28"/>
              <w:szCs w:val="28"/>
            </w:rPr>
            <w:instrText xml:space="preserve"> PAGEREF _Toc20626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_Toc16374 </w:instrText>
          </w:r>
          <w:r>
            <w:rPr>
              <w:sz w:val="28"/>
              <w:szCs w:val="28"/>
            </w:rPr>
            <w:fldChar w:fldCharType="separate"/>
          </w:r>
          <w:r>
            <w:rPr>
              <w:rFonts w:hint="eastAsia" w:ascii="黑体" w:hAnsi="黑体" w:eastAsia="黑体"/>
              <w:sz w:val="28"/>
              <w:szCs w:val="28"/>
              <w:highlight w:val="none"/>
              <w:lang w:val="en-US" w:eastAsia="zh-CN"/>
            </w:rPr>
            <w:t>二、2021年重点</w:t>
          </w:r>
          <w:r>
            <w:rPr>
              <w:rFonts w:hint="eastAsia" w:ascii="黑体" w:hAnsi="黑体" w:eastAsia="黑体"/>
              <w:sz w:val="28"/>
              <w:szCs w:val="28"/>
              <w:highlight w:val="none"/>
            </w:rPr>
            <w:t>工作</w:t>
          </w:r>
          <w:r>
            <w:rPr>
              <w:rFonts w:hint="eastAsia" w:ascii="黑体" w:hAnsi="黑体" w:eastAsia="黑体"/>
              <w:sz w:val="28"/>
              <w:szCs w:val="28"/>
              <w:highlight w:val="none"/>
              <w:lang w:eastAsia="zh-CN"/>
            </w:rPr>
            <w:t>完成情况</w:t>
          </w:r>
          <w:r>
            <w:rPr>
              <w:sz w:val="28"/>
              <w:szCs w:val="28"/>
            </w:rPr>
            <w:tab/>
          </w:r>
          <w:r>
            <w:rPr>
              <w:sz w:val="28"/>
              <w:szCs w:val="28"/>
            </w:rPr>
            <w:fldChar w:fldCharType="begin"/>
          </w:r>
          <w:r>
            <w:rPr>
              <w:sz w:val="28"/>
              <w:szCs w:val="28"/>
            </w:rPr>
            <w:instrText xml:space="preserve"> PAGEREF _Toc16374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30"/>
            <w:tabs>
              <w:tab w:val="right" w:leader="dot" w:pos="8306"/>
            </w:tabs>
            <w:rPr>
              <w:b/>
              <w:sz w:val="28"/>
              <w:szCs w:val="28"/>
            </w:rPr>
          </w:pPr>
          <w:r>
            <w:rPr>
              <w:b/>
              <w:sz w:val="28"/>
              <w:szCs w:val="28"/>
            </w:rPr>
            <w:fldChar w:fldCharType="begin"/>
          </w:r>
          <w:r>
            <w:rPr>
              <w:b/>
              <w:sz w:val="28"/>
              <w:szCs w:val="28"/>
            </w:rPr>
            <w:instrText xml:space="preserve"> HYPERLINK \l _Toc1760 </w:instrText>
          </w:r>
          <w:r>
            <w:rPr>
              <w:b/>
              <w:sz w:val="28"/>
              <w:szCs w:val="28"/>
            </w:rPr>
            <w:fldChar w:fldCharType="separate"/>
          </w:r>
          <w:r>
            <w:rPr>
              <w:rFonts w:hint="eastAsia" w:ascii="黑体" w:hAnsi="黑体" w:eastAsia="黑体"/>
              <w:b/>
              <w:bCs/>
              <w:sz w:val="28"/>
              <w:szCs w:val="28"/>
              <w:highlight w:val="none"/>
            </w:rPr>
            <w:t xml:space="preserve">第二部分 </w:t>
          </w:r>
          <w:r>
            <w:rPr>
              <w:rFonts w:hint="eastAsia" w:ascii="黑体" w:hAnsi="黑体" w:eastAsia="黑体"/>
              <w:b/>
              <w:bCs/>
              <w:sz w:val="28"/>
              <w:szCs w:val="28"/>
              <w:highlight w:val="none"/>
              <w:lang w:val="en-US" w:eastAsia="zh-CN"/>
            </w:rPr>
            <w:t>2021年度</w:t>
          </w:r>
          <w:r>
            <w:rPr>
              <w:rFonts w:hint="eastAsia" w:ascii="黑体" w:hAnsi="黑体" w:eastAsia="黑体"/>
              <w:b/>
              <w:bCs/>
              <w:sz w:val="28"/>
              <w:szCs w:val="28"/>
              <w:highlight w:val="none"/>
              <w:lang w:eastAsia="zh-CN"/>
            </w:rPr>
            <w:t>单位</w:t>
          </w:r>
          <w:r>
            <w:rPr>
              <w:rFonts w:hint="eastAsia" w:ascii="黑体" w:hAnsi="黑体" w:eastAsia="黑体"/>
              <w:b/>
              <w:bCs/>
              <w:sz w:val="28"/>
              <w:szCs w:val="28"/>
              <w:highlight w:val="none"/>
            </w:rPr>
            <w:t>决算情况说明</w:t>
          </w:r>
          <w:r>
            <w:rPr>
              <w:b/>
              <w:sz w:val="28"/>
              <w:szCs w:val="28"/>
            </w:rPr>
            <w:tab/>
          </w:r>
          <w:r>
            <w:rPr>
              <w:b/>
              <w:sz w:val="28"/>
              <w:szCs w:val="28"/>
            </w:rPr>
            <w:fldChar w:fldCharType="begin"/>
          </w:r>
          <w:r>
            <w:rPr>
              <w:b/>
              <w:sz w:val="28"/>
              <w:szCs w:val="28"/>
            </w:rPr>
            <w:instrText xml:space="preserve"> PAGEREF _Toc1760 </w:instrText>
          </w:r>
          <w:r>
            <w:rPr>
              <w:b/>
              <w:sz w:val="28"/>
              <w:szCs w:val="28"/>
            </w:rPr>
            <w:fldChar w:fldCharType="separate"/>
          </w:r>
          <w:r>
            <w:rPr>
              <w:b/>
              <w:sz w:val="28"/>
              <w:szCs w:val="28"/>
            </w:rPr>
            <w:t>7</w:t>
          </w:r>
          <w:r>
            <w:rPr>
              <w:b/>
              <w:sz w:val="28"/>
              <w:szCs w:val="28"/>
            </w:rPr>
            <w:fldChar w:fldCharType="end"/>
          </w:r>
          <w:r>
            <w:rPr>
              <w:b/>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_Toc27157 </w:instrText>
          </w:r>
          <w:r>
            <w:rPr>
              <w:sz w:val="28"/>
              <w:szCs w:val="28"/>
            </w:rPr>
            <w:fldChar w:fldCharType="separate"/>
          </w:r>
          <w:r>
            <w:rPr>
              <w:rFonts w:hint="default" w:ascii="黑体" w:hAnsi="黑体" w:eastAsia="黑体"/>
              <w:sz w:val="28"/>
              <w:szCs w:val="28"/>
            </w:rPr>
            <w:t xml:space="preserve">一、 </w:t>
          </w:r>
          <w:r>
            <w:rPr>
              <w:rFonts w:hint="eastAsia" w:ascii="黑体" w:hAnsi="黑体" w:eastAsia="黑体"/>
              <w:sz w:val="28"/>
              <w:szCs w:val="28"/>
              <w:highlight w:val="none"/>
            </w:rPr>
            <w:t>收入支出决算总体情况说明</w:t>
          </w:r>
          <w:r>
            <w:rPr>
              <w:sz w:val="28"/>
              <w:szCs w:val="28"/>
            </w:rPr>
            <w:tab/>
          </w:r>
          <w:r>
            <w:rPr>
              <w:sz w:val="28"/>
              <w:szCs w:val="28"/>
            </w:rPr>
            <w:fldChar w:fldCharType="begin"/>
          </w:r>
          <w:r>
            <w:rPr>
              <w:sz w:val="28"/>
              <w:szCs w:val="28"/>
            </w:rPr>
            <w:instrText xml:space="preserve"> PAGEREF _Toc27157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_Toc29451 </w:instrText>
          </w:r>
          <w:r>
            <w:rPr>
              <w:sz w:val="28"/>
              <w:szCs w:val="28"/>
            </w:rPr>
            <w:fldChar w:fldCharType="separate"/>
          </w:r>
          <w:r>
            <w:rPr>
              <w:rFonts w:hint="default" w:ascii="黑体" w:hAnsi="黑体" w:eastAsia="黑体"/>
              <w:sz w:val="28"/>
              <w:szCs w:val="28"/>
            </w:rPr>
            <w:t xml:space="preserve">二、 </w:t>
          </w:r>
          <w:r>
            <w:rPr>
              <w:rFonts w:hint="eastAsia" w:ascii="黑体" w:hAnsi="黑体" w:eastAsia="黑体"/>
              <w:sz w:val="28"/>
              <w:szCs w:val="28"/>
              <w:highlight w:val="none"/>
            </w:rPr>
            <w:t>收入决算情况说明</w:t>
          </w:r>
          <w:r>
            <w:rPr>
              <w:sz w:val="28"/>
              <w:szCs w:val="28"/>
            </w:rPr>
            <w:tab/>
          </w:r>
          <w:r>
            <w:rPr>
              <w:sz w:val="28"/>
              <w:szCs w:val="28"/>
            </w:rPr>
            <w:fldChar w:fldCharType="begin"/>
          </w:r>
          <w:r>
            <w:rPr>
              <w:sz w:val="28"/>
              <w:szCs w:val="28"/>
            </w:rPr>
            <w:instrText xml:space="preserve"> PAGEREF _Toc29451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_Toc23040 </w:instrText>
          </w:r>
          <w:r>
            <w:rPr>
              <w:sz w:val="28"/>
              <w:szCs w:val="28"/>
            </w:rPr>
            <w:fldChar w:fldCharType="separate"/>
          </w:r>
          <w:r>
            <w:rPr>
              <w:rFonts w:hint="default" w:ascii="黑体" w:hAnsi="黑体" w:eastAsia="黑体"/>
              <w:sz w:val="28"/>
              <w:szCs w:val="28"/>
            </w:rPr>
            <w:t xml:space="preserve">三、 </w:t>
          </w:r>
          <w:r>
            <w:rPr>
              <w:rFonts w:hint="eastAsia" w:ascii="黑体" w:hAnsi="黑体" w:eastAsia="黑体"/>
              <w:sz w:val="28"/>
              <w:szCs w:val="28"/>
              <w:highlight w:val="none"/>
            </w:rPr>
            <w:t>支出决算情况说明</w:t>
          </w:r>
          <w:r>
            <w:rPr>
              <w:sz w:val="28"/>
              <w:szCs w:val="28"/>
            </w:rPr>
            <w:tab/>
          </w:r>
          <w:r>
            <w:rPr>
              <w:sz w:val="28"/>
              <w:szCs w:val="28"/>
            </w:rPr>
            <w:fldChar w:fldCharType="begin"/>
          </w:r>
          <w:r>
            <w:rPr>
              <w:sz w:val="28"/>
              <w:szCs w:val="28"/>
            </w:rPr>
            <w:instrText xml:space="preserve"> PAGEREF _Toc23040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_Toc11322 </w:instrText>
          </w:r>
          <w:r>
            <w:rPr>
              <w:sz w:val="28"/>
              <w:szCs w:val="28"/>
            </w:rPr>
            <w:fldChar w:fldCharType="separate"/>
          </w:r>
          <w:r>
            <w:rPr>
              <w:rFonts w:hint="eastAsia" w:ascii="黑体" w:hAnsi="黑体" w:eastAsia="黑体"/>
              <w:sz w:val="28"/>
              <w:szCs w:val="28"/>
              <w:highlight w:val="none"/>
            </w:rPr>
            <w:t>四、财政拨款收入支出决算总体情况说明</w:t>
          </w:r>
          <w:r>
            <w:rPr>
              <w:sz w:val="28"/>
              <w:szCs w:val="28"/>
            </w:rPr>
            <w:tab/>
          </w:r>
          <w:r>
            <w:rPr>
              <w:sz w:val="28"/>
              <w:szCs w:val="28"/>
            </w:rPr>
            <w:fldChar w:fldCharType="begin"/>
          </w:r>
          <w:r>
            <w:rPr>
              <w:sz w:val="28"/>
              <w:szCs w:val="28"/>
            </w:rPr>
            <w:instrText xml:space="preserve"> PAGEREF _Toc11322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_Toc12243 </w:instrText>
          </w:r>
          <w:r>
            <w:rPr>
              <w:sz w:val="28"/>
              <w:szCs w:val="28"/>
            </w:rPr>
            <w:fldChar w:fldCharType="separate"/>
          </w:r>
          <w:r>
            <w:rPr>
              <w:rFonts w:hint="eastAsia" w:ascii="黑体" w:hAnsi="黑体" w:eastAsia="黑体"/>
              <w:sz w:val="28"/>
              <w:szCs w:val="28"/>
              <w:highlight w:val="none"/>
            </w:rPr>
            <w:t>五、一般公共预算财政拨款支出决算情况说明</w:t>
          </w:r>
          <w:r>
            <w:rPr>
              <w:sz w:val="28"/>
              <w:szCs w:val="28"/>
            </w:rPr>
            <w:tab/>
          </w:r>
          <w:r>
            <w:rPr>
              <w:sz w:val="28"/>
              <w:szCs w:val="28"/>
            </w:rPr>
            <w:fldChar w:fldCharType="begin"/>
          </w:r>
          <w:r>
            <w:rPr>
              <w:sz w:val="28"/>
              <w:szCs w:val="28"/>
            </w:rPr>
            <w:instrText xml:space="preserve"> PAGEREF _Toc12243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_Toc9039 </w:instrText>
          </w:r>
          <w:r>
            <w:rPr>
              <w:sz w:val="28"/>
              <w:szCs w:val="28"/>
            </w:rPr>
            <w:fldChar w:fldCharType="separate"/>
          </w:r>
          <w:r>
            <w:rPr>
              <w:rFonts w:hint="eastAsia" w:ascii="黑体" w:eastAsia="黑体"/>
              <w:sz w:val="28"/>
              <w:szCs w:val="28"/>
              <w:highlight w:val="none"/>
            </w:rPr>
            <w:t>六、</w:t>
          </w:r>
          <w:r>
            <w:rPr>
              <w:rFonts w:hint="eastAsia" w:ascii="黑体" w:hAnsi="黑体" w:eastAsia="黑体"/>
              <w:sz w:val="28"/>
              <w:szCs w:val="28"/>
              <w:highlight w:val="none"/>
            </w:rPr>
            <w:t>一般公共预算财政拨款基本支出决算情况说明</w:t>
          </w:r>
          <w:r>
            <w:rPr>
              <w:sz w:val="28"/>
              <w:szCs w:val="28"/>
            </w:rPr>
            <w:tab/>
          </w:r>
          <w:r>
            <w:rPr>
              <w:sz w:val="28"/>
              <w:szCs w:val="28"/>
            </w:rPr>
            <w:fldChar w:fldCharType="begin"/>
          </w:r>
          <w:r>
            <w:rPr>
              <w:sz w:val="28"/>
              <w:szCs w:val="28"/>
            </w:rPr>
            <w:instrText xml:space="preserve"> PAGEREF _Toc9039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_Toc29491 </w:instrText>
          </w:r>
          <w:r>
            <w:rPr>
              <w:sz w:val="28"/>
              <w:szCs w:val="28"/>
            </w:rPr>
            <w:fldChar w:fldCharType="separate"/>
          </w:r>
          <w:r>
            <w:rPr>
              <w:rFonts w:hint="eastAsia" w:ascii="黑体" w:eastAsia="黑体"/>
              <w:sz w:val="28"/>
              <w:szCs w:val="28"/>
              <w:highlight w:val="none"/>
            </w:rPr>
            <w:t>七、</w:t>
          </w:r>
          <w:r>
            <w:rPr>
              <w:rFonts w:hint="eastAsia" w:ascii="黑体" w:hAnsi="黑体" w:eastAsia="黑体"/>
              <w:sz w:val="28"/>
              <w:szCs w:val="28"/>
              <w:highlight w:val="none"/>
            </w:rPr>
            <w:t>“三公”经费财政拨款支出决算情况说明</w:t>
          </w:r>
          <w:r>
            <w:rPr>
              <w:sz w:val="28"/>
              <w:szCs w:val="28"/>
            </w:rPr>
            <w:tab/>
          </w:r>
          <w:r>
            <w:rPr>
              <w:sz w:val="28"/>
              <w:szCs w:val="28"/>
            </w:rPr>
            <w:fldChar w:fldCharType="begin"/>
          </w:r>
          <w:r>
            <w:rPr>
              <w:sz w:val="28"/>
              <w:szCs w:val="28"/>
            </w:rPr>
            <w:instrText xml:space="preserve"> PAGEREF _Toc29491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_Toc21741 </w:instrText>
          </w:r>
          <w:r>
            <w:rPr>
              <w:sz w:val="28"/>
              <w:szCs w:val="28"/>
            </w:rPr>
            <w:fldChar w:fldCharType="separate"/>
          </w:r>
          <w:r>
            <w:rPr>
              <w:rFonts w:hint="eastAsia" w:ascii="黑体" w:eastAsia="黑体"/>
              <w:sz w:val="28"/>
              <w:szCs w:val="28"/>
              <w:highlight w:val="none"/>
            </w:rPr>
            <w:t>八、</w:t>
          </w:r>
          <w:r>
            <w:rPr>
              <w:rFonts w:hint="eastAsia" w:ascii="黑体" w:hAnsi="黑体" w:eastAsia="黑体"/>
              <w:sz w:val="28"/>
              <w:szCs w:val="28"/>
              <w:highlight w:val="none"/>
            </w:rPr>
            <w:t>政府性基金预算支出决算情况说明</w:t>
          </w:r>
          <w:r>
            <w:rPr>
              <w:sz w:val="28"/>
              <w:szCs w:val="28"/>
            </w:rPr>
            <w:tab/>
          </w:r>
          <w:r>
            <w:rPr>
              <w:sz w:val="28"/>
              <w:szCs w:val="28"/>
            </w:rPr>
            <w:fldChar w:fldCharType="begin"/>
          </w:r>
          <w:r>
            <w:rPr>
              <w:sz w:val="28"/>
              <w:szCs w:val="28"/>
            </w:rPr>
            <w:instrText xml:space="preserve"> PAGEREF _Toc21741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_Toc2627 </w:instrText>
          </w:r>
          <w:r>
            <w:rPr>
              <w:sz w:val="28"/>
              <w:szCs w:val="28"/>
            </w:rPr>
            <w:fldChar w:fldCharType="separate"/>
          </w:r>
          <w:r>
            <w:rPr>
              <w:rFonts w:hint="eastAsia" w:ascii="黑体" w:hAnsi="黑体" w:eastAsia="黑体"/>
              <w:sz w:val="28"/>
              <w:szCs w:val="28"/>
            </w:rPr>
            <w:t xml:space="preserve">九、 </w:t>
          </w:r>
          <w:r>
            <w:rPr>
              <w:rFonts w:hint="eastAsia" w:ascii="黑体" w:hAnsi="黑体" w:eastAsia="黑体"/>
              <w:sz w:val="28"/>
              <w:szCs w:val="28"/>
              <w:highlight w:val="none"/>
            </w:rPr>
            <w:t>国有资本经营预算支出决算情况说明</w:t>
          </w:r>
          <w:r>
            <w:rPr>
              <w:sz w:val="28"/>
              <w:szCs w:val="28"/>
            </w:rPr>
            <w:tab/>
          </w:r>
          <w:r>
            <w:rPr>
              <w:sz w:val="28"/>
              <w:szCs w:val="28"/>
            </w:rPr>
            <w:fldChar w:fldCharType="begin"/>
          </w:r>
          <w:r>
            <w:rPr>
              <w:sz w:val="28"/>
              <w:szCs w:val="28"/>
            </w:rPr>
            <w:instrText xml:space="preserve"> PAGEREF _Toc2627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_Toc11939 </w:instrText>
          </w:r>
          <w:r>
            <w:rPr>
              <w:sz w:val="28"/>
              <w:szCs w:val="28"/>
            </w:rPr>
            <w:fldChar w:fldCharType="separate"/>
          </w:r>
          <w:r>
            <w:rPr>
              <w:rFonts w:hint="eastAsia" w:ascii="黑体" w:hAnsi="黑体" w:eastAsia="黑体"/>
              <w:sz w:val="28"/>
              <w:szCs w:val="28"/>
            </w:rPr>
            <w:t xml:space="preserve">十、 </w:t>
          </w:r>
          <w:r>
            <w:rPr>
              <w:rFonts w:hint="eastAsia" w:ascii="黑体" w:hAnsi="黑体" w:eastAsia="黑体"/>
              <w:sz w:val="28"/>
              <w:szCs w:val="28"/>
              <w:highlight w:val="none"/>
            </w:rPr>
            <w:t>其他重要事项的情况说明</w:t>
          </w:r>
          <w:r>
            <w:rPr>
              <w:sz w:val="28"/>
              <w:szCs w:val="28"/>
            </w:rPr>
            <w:tab/>
          </w:r>
          <w:r>
            <w:rPr>
              <w:sz w:val="28"/>
              <w:szCs w:val="28"/>
            </w:rPr>
            <w:fldChar w:fldCharType="begin"/>
          </w:r>
          <w:r>
            <w:rPr>
              <w:sz w:val="28"/>
              <w:szCs w:val="28"/>
            </w:rPr>
            <w:instrText xml:space="preserve"> PAGEREF _Toc11939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30"/>
            <w:tabs>
              <w:tab w:val="right" w:leader="dot" w:pos="8306"/>
            </w:tabs>
            <w:rPr>
              <w:b/>
              <w:sz w:val="28"/>
              <w:szCs w:val="28"/>
            </w:rPr>
          </w:pPr>
          <w:r>
            <w:rPr>
              <w:b/>
              <w:sz w:val="28"/>
              <w:szCs w:val="28"/>
            </w:rPr>
            <w:fldChar w:fldCharType="begin"/>
          </w:r>
          <w:r>
            <w:rPr>
              <w:b/>
              <w:sz w:val="28"/>
              <w:szCs w:val="28"/>
            </w:rPr>
            <w:instrText xml:space="preserve"> HYPERLINK \l _Toc14472 </w:instrText>
          </w:r>
          <w:r>
            <w:rPr>
              <w:b/>
              <w:sz w:val="28"/>
              <w:szCs w:val="28"/>
            </w:rPr>
            <w:fldChar w:fldCharType="separate"/>
          </w:r>
          <w:r>
            <w:rPr>
              <w:rFonts w:hint="eastAsia" w:ascii="黑体" w:hAnsi="黑体" w:eastAsia="黑体" w:cs="黑体"/>
              <w:b/>
              <w:sz w:val="28"/>
              <w:szCs w:val="28"/>
            </w:rPr>
            <w:t xml:space="preserve">第三部分 </w:t>
          </w:r>
          <w:r>
            <w:rPr>
              <w:rFonts w:hint="eastAsia" w:ascii="黑体" w:hAnsi="黑体" w:eastAsia="黑体"/>
              <w:b/>
              <w:sz w:val="28"/>
              <w:szCs w:val="28"/>
              <w:highlight w:val="none"/>
            </w:rPr>
            <w:t>名词解释</w:t>
          </w:r>
          <w:r>
            <w:rPr>
              <w:b/>
              <w:sz w:val="28"/>
              <w:szCs w:val="28"/>
            </w:rPr>
            <w:tab/>
          </w:r>
          <w:r>
            <w:rPr>
              <w:b/>
              <w:sz w:val="28"/>
              <w:szCs w:val="28"/>
            </w:rPr>
            <w:fldChar w:fldCharType="begin"/>
          </w:r>
          <w:r>
            <w:rPr>
              <w:b/>
              <w:sz w:val="28"/>
              <w:szCs w:val="28"/>
            </w:rPr>
            <w:instrText xml:space="preserve"> PAGEREF _Toc14472 </w:instrText>
          </w:r>
          <w:r>
            <w:rPr>
              <w:b/>
              <w:sz w:val="28"/>
              <w:szCs w:val="28"/>
            </w:rPr>
            <w:fldChar w:fldCharType="separate"/>
          </w:r>
          <w:r>
            <w:rPr>
              <w:b/>
              <w:sz w:val="28"/>
              <w:szCs w:val="28"/>
            </w:rPr>
            <w:t>14</w:t>
          </w:r>
          <w:r>
            <w:rPr>
              <w:b/>
              <w:sz w:val="28"/>
              <w:szCs w:val="28"/>
            </w:rPr>
            <w:fldChar w:fldCharType="end"/>
          </w:r>
          <w:r>
            <w:rPr>
              <w:b/>
              <w:sz w:val="28"/>
              <w:szCs w:val="28"/>
            </w:rPr>
            <w:fldChar w:fldCharType="end"/>
          </w:r>
        </w:p>
        <w:p>
          <w:pPr>
            <w:pStyle w:val="30"/>
            <w:tabs>
              <w:tab w:val="right" w:leader="dot" w:pos="8306"/>
            </w:tabs>
            <w:rPr>
              <w:b/>
              <w:sz w:val="28"/>
              <w:szCs w:val="28"/>
            </w:rPr>
          </w:pPr>
          <w:r>
            <w:rPr>
              <w:b/>
              <w:sz w:val="28"/>
              <w:szCs w:val="28"/>
            </w:rPr>
            <w:fldChar w:fldCharType="begin"/>
          </w:r>
          <w:r>
            <w:rPr>
              <w:b/>
              <w:sz w:val="28"/>
              <w:szCs w:val="28"/>
            </w:rPr>
            <w:instrText xml:space="preserve"> HYPERLINK \l _Toc10552 </w:instrText>
          </w:r>
          <w:r>
            <w:rPr>
              <w:b/>
              <w:sz w:val="28"/>
              <w:szCs w:val="28"/>
            </w:rPr>
            <w:fldChar w:fldCharType="separate"/>
          </w:r>
          <w:r>
            <w:rPr>
              <w:rFonts w:hint="eastAsia" w:ascii="黑体" w:hAnsi="黑体" w:eastAsia="黑体"/>
              <w:b/>
              <w:sz w:val="28"/>
              <w:szCs w:val="28"/>
              <w:highlight w:val="none"/>
            </w:rPr>
            <w:t>第四部分 附件</w:t>
          </w:r>
          <w:r>
            <w:rPr>
              <w:b/>
              <w:sz w:val="28"/>
              <w:szCs w:val="28"/>
            </w:rPr>
            <w:tab/>
          </w:r>
          <w:r>
            <w:rPr>
              <w:b/>
              <w:sz w:val="28"/>
              <w:szCs w:val="28"/>
            </w:rPr>
            <w:fldChar w:fldCharType="begin"/>
          </w:r>
          <w:r>
            <w:rPr>
              <w:b/>
              <w:sz w:val="28"/>
              <w:szCs w:val="28"/>
            </w:rPr>
            <w:instrText xml:space="preserve"> PAGEREF _Toc10552 </w:instrText>
          </w:r>
          <w:r>
            <w:rPr>
              <w:b/>
              <w:sz w:val="28"/>
              <w:szCs w:val="28"/>
            </w:rPr>
            <w:fldChar w:fldCharType="separate"/>
          </w:r>
          <w:r>
            <w:rPr>
              <w:b/>
              <w:sz w:val="28"/>
              <w:szCs w:val="28"/>
            </w:rPr>
            <w:t>17</w:t>
          </w:r>
          <w:r>
            <w:rPr>
              <w:b/>
              <w:sz w:val="28"/>
              <w:szCs w:val="28"/>
            </w:rPr>
            <w:fldChar w:fldCharType="end"/>
          </w:r>
          <w:r>
            <w:rPr>
              <w:b/>
              <w:sz w:val="28"/>
              <w:szCs w:val="28"/>
            </w:rPr>
            <w:fldChar w:fldCharType="end"/>
          </w:r>
        </w:p>
        <w:p>
          <w:pPr>
            <w:pStyle w:val="30"/>
            <w:tabs>
              <w:tab w:val="right" w:leader="dot" w:pos="8306"/>
            </w:tabs>
            <w:rPr>
              <w:b/>
              <w:sz w:val="28"/>
              <w:szCs w:val="28"/>
            </w:rPr>
          </w:pPr>
          <w:r>
            <w:rPr>
              <w:b/>
              <w:sz w:val="28"/>
              <w:szCs w:val="28"/>
            </w:rPr>
            <w:fldChar w:fldCharType="begin"/>
          </w:r>
          <w:r>
            <w:rPr>
              <w:b/>
              <w:sz w:val="28"/>
              <w:szCs w:val="28"/>
            </w:rPr>
            <w:instrText xml:space="preserve"> HYPERLINK \l _Toc14161 </w:instrText>
          </w:r>
          <w:r>
            <w:rPr>
              <w:b/>
              <w:sz w:val="28"/>
              <w:szCs w:val="28"/>
            </w:rPr>
            <w:fldChar w:fldCharType="separate"/>
          </w:r>
          <w:r>
            <w:rPr>
              <w:rFonts w:hint="eastAsia" w:ascii="黑体" w:hAnsi="黑体" w:eastAsia="黑体"/>
              <w:b/>
              <w:sz w:val="28"/>
              <w:szCs w:val="28"/>
              <w:highlight w:val="none"/>
            </w:rPr>
            <w:t>第五部分 附表</w:t>
          </w:r>
          <w:r>
            <w:rPr>
              <w:b/>
              <w:sz w:val="28"/>
              <w:szCs w:val="28"/>
            </w:rPr>
            <w:tab/>
          </w:r>
          <w:r>
            <w:rPr>
              <w:b/>
              <w:sz w:val="28"/>
              <w:szCs w:val="28"/>
            </w:rPr>
            <w:fldChar w:fldCharType="begin"/>
          </w:r>
          <w:r>
            <w:rPr>
              <w:b/>
              <w:sz w:val="28"/>
              <w:szCs w:val="28"/>
            </w:rPr>
            <w:instrText xml:space="preserve"> PAGEREF _Toc14161 </w:instrText>
          </w:r>
          <w:r>
            <w:rPr>
              <w:b/>
              <w:sz w:val="28"/>
              <w:szCs w:val="28"/>
            </w:rPr>
            <w:fldChar w:fldCharType="separate"/>
          </w:r>
          <w:r>
            <w:rPr>
              <w:b/>
              <w:sz w:val="28"/>
              <w:szCs w:val="28"/>
            </w:rPr>
            <w:t>21</w:t>
          </w:r>
          <w:r>
            <w:rPr>
              <w:b/>
              <w:sz w:val="28"/>
              <w:szCs w:val="28"/>
            </w:rPr>
            <w:fldChar w:fldCharType="end"/>
          </w:r>
          <w:r>
            <w:rPr>
              <w:b/>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_Toc15438 </w:instrText>
          </w:r>
          <w:r>
            <w:rPr>
              <w:sz w:val="28"/>
              <w:szCs w:val="28"/>
            </w:rPr>
            <w:fldChar w:fldCharType="separate"/>
          </w:r>
          <w:r>
            <w:rPr>
              <w:rFonts w:hint="eastAsia" w:ascii="仿宋" w:hAnsi="仿宋" w:eastAsia="仿宋"/>
              <w:sz w:val="28"/>
              <w:szCs w:val="28"/>
              <w:highlight w:val="none"/>
            </w:rPr>
            <w:t>一、收</w:t>
          </w:r>
          <w:r>
            <w:rPr>
              <w:rFonts w:hint="eastAsia" w:ascii="仿宋" w:hAnsi="仿宋" w:eastAsia="仿宋"/>
              <w:bCs w:val="0"/>
              <w:sz w:val="28"/>
              <w:szCs w:val="28"/>
              <w:highlight w:val="none"/>
            </w:rPr>
            <w:t>入支出决算总表</w:t>
          </w:r>
          <w:r>
            <w:rPr>
              <w:sz w:val="28"/>
              <w:szCs w:val="28"/>
            </w:rPr>
            <w:tab/>
          </w:r>
          <w:r>
            <w:rPr>
              <w:sz w:val="28"/>
              <w:szCs w:val="28"/>
            </w:rPr>
            <w:fldChar w:fldCharType="begin"/>
          </w:r>
          <w:r>
            <w:rPr>
              <w:sz w:val="28"/>
              <w:szCs w:val="28"/>
            </w:rPr>
            <w:instrText xml:space="preserve"> PAGEREF _Toc15438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_Toc21178 </w:instrText>
          </w:r>
          <w:r>
            <w:rPr>
              <w:sz w:val="28"/>
              <w:szCs w:val="28"/>
            </w:rPr>
            <w:fldChar w:fldCharType="separate"/>
          </w:r>
          <w:r>
            <w:rPr>
              <w:rFonts w:hint="eastAsia" w:ascii="仿宋" w:hAnsi="仿宋" w:eastAsia="仿宋"/>
              <w:sz w:val="28"/>
              <w:szCs w:val="28"/>
              <w:highlight w:val="none"/>
            </w:rPr>
            <w:t>二、收</w:t>
          </w:r>
          <w:r>
            <w:rPr>
              <w:rFonts w:hint="eastAsia" w:ascii="仿宋" w:hAnsi="仿宋" w:eastAsia="仿宋"/>
              <w:bCs w:val="0"/>
              <w:sz w:val="28"/>
              <w:szCs w:val="28"/>
              <w:highlight w:val="none"/>
            </w:rPr>
            <w:t>入决算表</w:t>
          </w:r>
          <w:r>
            <w:rPr>
              <w:sz w:val="28"/>
              <w:szCs w:val="28"/>
            </w:rPr>
            <w:tab/>
          </w:r>
          <w:r>
            <w:rPr>
              <w:sz w:val="28"/>
              <w:szCs w:val="28"/>
            </w:rPr>
            <w:fldChar w:fldCharType="begin"/>
          </w:r>
          <w:r>
            <w:rPr>
              <w:sz w:val="28"/>
              <w:szCs w:val="28"/>
            </w:rPr>
            <w:instrText xml:space="preserve"> PAGEREF _Toc21178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_Toc19453 </w:instrText>
          </w:r>
          <w:r>
            <w:rPr>
              <w:sz w:val="28"/>
              <w:szCs w:val="28"/>
            </w:rPr>
            <w:fldChar w:fldCharType="separate"/>
          </w:r>
          <w:r>
            <w:rPr>
              <w:rFonts w:hint="eastAsia" w:ascii="仿宋" w:hAnsi="仿宋" w:eastAsia="仿宋"/>
              <w:bCs w:val="0"/>
              <w:sz w:val="28"/>
              <w:szCs w:val="28"/>
              <w:highlight w:val="none"/>
            </w:rPr>
            <w:t>三、</w:t>
          </w:r>
          <w:r>
            <w:rPr>
              <w:rFonts w:hint="eastAsia" w:ascii="仿宋" w:hAnsi="仿宋" w:eastAsia="仿宋"/>
              <w:sz w:val="28"/>
              <w:szCs w:val="28"/>
              <w:highlight w:val="none"/>
            </w:rPr>
            <w:t>支</w:t>
          </w:r>
          <w:r>
            <w:rPr>
              <w:rFonts w:hint="eastAsia" w:ascii="仿宋" w:hAnsi="仿宋" w:eastAsia="仿宋"/>
              <w:bCs w:val="0"/>
              <w:sz w:val="28"/>
              <w:szCs w:val="28"/>
              <w:highlight w:val="none"/>
            </w:rPr>
            <w:t>出决算表</w:t>
          </w:r>
          <w:r>
            <w:rPr>
              <w:sz w:val="28"/>
              <w:szCs w:val="28"/>
            </w:rPr>
            <w:tab/>
          </w:r>
          <w:r>
            <w:rPr>
              <w:sz w:val="28"/>
              <w:szCs w:val="28"/>
            </w:rPr>
            <w:fldChar w:fldCharType="begin"/>
          </w:r>
          <w:r>
            <w:rPr>
              <w:sz w:val="28"/>
              <w:szCs w:val="28"/>
            </w:rPr>
            <w:instrText xml:space="preserve"> PAGEREF _Toc19453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_Toc25746 </w:instrText>
          </w:r>
          <w:r>
            <w:rPr>
              <w:sz w:val="28"/>
              <w:szCs w:val="28"/>
            </w:rPr>
            <w:fldChar w:fldCharType="separate"/>
          </w:r>
          <w:r>
            <w:rPr>
              <w:rFonts w:hint="eastAsia" w:ascii="仿宋" w:hAnsi="仿宋" w:eastAsia="仿宋"/>
              <w:bCs w:val="0"/>
              <w:sz w:val="28"/>
              <w:szCs w:val="28"/>
              <w:highlight w:val="none"/>
            </w:rPr>
            <w:t>四、</w:t>
          </w:r>
          <w:r>
            <w:rPr>
              <w:rFonts w:hint="eastAsia" w:ascii="仿宋" w:hAnsi="仿宋" w:eastAsia="仿宋"/>
              <w:sz w:val="28"/>
              <w:szCs w:val="28"/>
              <w:highlight w:val="none"/>
            </w:rPr>
            <w:t>财</w:t>
          </w:r>
          <w:r>
            <w:rPr>
              <w:rFonts w:hint="eastAsia" w:ascii="仿宋" w:hAnsi="仿宋" w:eastAsia="仿宋"/>
              <w:bCs w:val="0"/>
              <w:sz w:val="28"/>
              <w:szCs w:val="28"/>
              <w:highlight w:val="none"/>
            </w:rPr>
            <w:t>政拨款收入支出决算总表</w:t>
          </w:r>
          <w:r>
            <w:rPr>
              <w:sz w:val="28"/>
              <w:szCs w:val="28"/>
            </w:rPr>
            <w:tab/>
          </w:r>
          <w:r>
            <w:rPr>
              <w:sz w:val="28"/>
              <w:szCs w:val="28"/>
            </w:rPr>
            <w:fldChar w:fldCharType="begin"/>
          </w:r>
          <w:r>
            <w:rPr>
              <w:sz w:val="28"/>
              <w:szCs w:val="28"/>
            </w:rPr>
            <w:instrText xml:space="preserve"> PAGEREF _Toc25746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_Toc8165 </w:instrText>
          </w:r>
          <w:r>
            <w:rPr>
              <w:sz w:val="28"/>
              <w:szCs w:val="28"/>
            </w:rPr>
            <w:fldChar w:fldCharType="separate"/>
          </w:r>
          <w:r>
            <w:rPr>
              <w:rFonts w:hint="eastAsia" w:ascii="仿宋" w:hAnsi="仿宋" w:eastAsia="仿宋"/>
              <w:bCs w:val="0"/>
              <w:sz w:val="28"/>
              <w:szCs w:val="28"/>
              <w:highlight w:val="none"/>
            </w:rPr>
            <w:t>五、</w:t>
          </w:r>
          <w:r>
            <w:rPr>
              <w:rFonts w:hint="eastAsia" w:ascii="仿宋" w:hAnsi="仿宋" w:eastAsia="仿宋"/>
              <w:sz w:val="28"/>
              <w:szCs w:val="28"/>
              <w:highlight w:val="none"/>
            </w:rPr>
            <w:t>财</w:t>
          </w:r>
          <w:r>
            <w:rPr>
              <w:rFonts w:hint="eastAsia" w:ascii="仿宋" w:hAnsi="仿宋" w:eastAsia="仿宋"/>
              <w:bCs w:val="0"/>
              <w:sz w:val="28"/>
              <w:szCs w:val="28"/>
              <w:highlight w:val="none"/>
            </w:rPr>
            <w:t>政拨款支出决算明细表</w:t>
          </w:r>
          <w:r>
            <w:rPr>
              <w:sz w:val="28"/>
              <w:szCs w:val="28"/>
            </w:rPr>
            <w:tab/>
          </w:r>
          <w:r>
            <w:rPr>
              <w:sz w:val="28"/>
              <w:szCs w:val="28"/>
            </w:rPr>
            <w:fldChar w:fldCharType="begin"/>
          </w:r>
          <w:r>
            <w:rPr>
              <w:sz w:val="28"/>
              <w:szCs w:val="28"/>
            </w:rPr>
            <w:instrText xml:space="preserve"> PAGEREF _Toc8165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_Toc26658 </w:instrText>
          </w:r>
          <w:r>
            <w:rPr>
              <w:sz w:val="28"/>
              <w:szCs w:val="28"/>
            </w:rPr>
            <w:fldChar w:fldCharType="separate"/>
          </w:r>
          <w:r>
            <w:rPr>
              <w:rFonts w:hint="eastAsia" w:ascii="仿宋" w:hAnsi="仿宋" w:eastAsia="仿宋"/>
              <w:bCs w:val="0"/>
              <w:sz w:val="28"/>
              <w:szCs w:val="28"/>
              <w:highlight w:val="none"/>
            </w:rPr>
            <w:t>六、</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般公共预算财政拨款支出决算表</w:t>
          </w:r>
          <w:r>
            <w:rPr>
              <w:sz w:val="28"/>
              <w:szCs w:val="28"/>
            </w:rPr>
            <w:tab/>
          </w:r>
          <w:r>
            <w:rPr>
              <w:sz w:val="28"/>
              <w:szCs w:val="28"/>
            </w:rPr>
            <w:fldChar w:fldCharType="begin"/>
          </w:r>
          <w:r>
            <w:rPr>
              <w:sz w:val="28"/>
              <w:szCs w:val="28"/>
            </w:rPr>
            <w:instrText xml:space="preserve"> PAGEREF _Toc26658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_Toc17532 </w:instrText>
          </w:r>
          <w:r>
            <w:rPr>
              <w:sz w:val="28"/>
              <w:szCs w:val="28"/>
            </w:rPr>
            <w:fldChar w:fldCharType="separate"/>
          </w:r>
          <w:r>
            <w:rPr>
              <w:rFonts w:hint="eastAsia" w:ascii="仿宋" w:hAnsi="仿宋" w:eastAsia="仿宋"/>
              <w:bCs w:val="0"/>
              <w:sz w:val="28"/>
              <w:szCs w:val="28"/>
              <w:highlight w:val="none"/>
            </w:rPr>
            <w:t>七、</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般公共预算财政拨款支出决算明细表</w:t>
          </w:r>
          <w:r>
            <w:rPr>
              <w:sz w:val="28"/>
              <w:szCs w:val="28"/>
            </w:rPr>
            <w:tab/>
          </w:r>
          <w:r>
            <w:rPr>
              <w:sz w:val="28"/>
              <w:szCs w:val="28"/>
            </w:rPr>
            <w:fldChar w:fldCharType="begin"/>
          </w:r>
          <w:r>
            <w:rPr>
              <w:sz w:val="28"/>
              <w:szCs w:val="28"/>
            </w:rPr>
            <w:instrText xml:space="preserve"> PAGEREF _Toc17532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_Toc25900 </w:instrText>
          </w:r>
          <w:r>
            <w:rPr>
              <w:sz w:val="28"/>
              <w:szCs w:val="28"/>
            </w:rPr>
            <w:fldChar w:fldCharType="separate"/>
          </w:r>
          <w:r>
            <w:rPr>
              <w:rFonts w:hint="eastAsia" w:ascii="仿宋" w:hAnsi="仿宋" w:eastAsia="仿宋"/>
              <w:bCs w:val="0"/>
              <w:sz w:val="28"/>
              <w:szCs w:val="28"/>
              <w:highlight w:val="none"/>
            </w:rPr>
            <w:t>八、</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般公共预算财政拨款基本支出决算表</w:t>
          </w:r>
          <w:r>
            <w:rPr>
              <w:sz w:val="28"/>
              <w:szCs w:val="28"/>
            </w:rPr>
            <w:tab/>
          </w:r>
          <w:r>
            <w:rPr>
              <w:sz w:val="28"/>
              <w:szCs w:val="28"/>
            </w:rPr>
            <w:fldChar w:fldCharType="begin"/>
          </w:r>
          <w:r>
            <w:rPr>
              <w:sz w:val="28"/>
              <w:szCs w:val="28"/>
            </w:rPr>
            <w:instrText xml:space="preserve"> PAGEREF _Toc25900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_Toc8978 </w:instrText>
          </w:r>
          <w:r>
            <w:rPr>
              <w:sz w:val="28"/>
              <w:szCs w:val="28"/>
            </w:rPr>
            <w:fldChar w:fldCharType="separate"/>
          </w:r>
          <w:r>
            <w:rPr>
              <w:rFonts w:hint="eastAsia" w:ascii="仿宋" w:hAnsi="仿宋" w:eastAsia="仿宋"/>
              <w:bCs w:val="0"/>
              <w:sz w:val="28"/>
              <w:szCs w:val="28"/>
              <w:highlight w:val="none"/>
            </w:rPr>
            <w:t>九、</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般公共预算财政拨款项目支出决算表</w:t>
          </w:r>
          <w:r>
            <w:rPr>
              <w:sz w:val="28"/>
              <w:szCs w:val="28"/>
            </w:rPr>
            <w:tab/>
          </w:r>
          <w:r>
            <w:rPr>
              <w:sz w:val="28"/>
              <w:szCs w:val="28"/>
            </w:rPr>
            <w:fldChar w:fldCharType="begin"/>
          </w:r>
          <w:r>
            <w:rPr>
              <w:sz w:val="28"/>
              <w:szCs w:val="28"/>
            </w:rPr>
            <w:instrText xml:space="preserve"> PAGEREF _Toc8978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_Toc1522 </w:instrText>
          </w:r>
          <w:r>
            <w:rPr>
              <w:sz w:val="28"/>
              <w:szCs w:val="28"/>
            </w:rPr>
            <w:fldChar w:fldCharType="separate"/>
          </w:r>
          <w:r>
            <w:rPr>
              <w:rFonts w:hint="eastAsia" w:ascii="仿宋" w:hAnsi="仿宋" w:eastAsia="仿宋"/>
              <w:bCs w:val="0"/>
              <w:sz w:val="28"/>
              <w:szCs w:val="28"/>
              <w:highlight w:val="none"/>
            </w:rPr>
            <w:t>十、</w:t>
          </w:r>
          <w:r>
            <w:rPr>
              <w:rFonts w:hint="eastAsia" w:ascii="仿宋" w:hAnsi="仿宋" w:eastAsia="仿宋"/>
              <w:sz w:val="28"/>
              <w:szCs w:val="28"/>
              <w:highlight w:val="none"/>
            </w:rPr>
            <w:t>一</w:t>
          </w:r>
          <w:r>
            <w:rPr>
              <w:rFonts w:hint="eastAsia" w:ascii="仿宋" w:hAnsi="仿宋" w:eastAsia="仿宋"/>
              <w:bCs w:val="0"/>
              <w:sz w:val="28"/>
              <w:szCs w:val="28"/>
              <w:highlight w:val="none"/>
            </w:rPr>
            <w:t>般公共预算财政拨款“三公”经费支出决算表</w:t>
          </w:r>
          <w:r>
            <w:rPr>
              <w:rFonts w:hint="eastAsia" w:ascii="仿宋" w:hAnsi="仿宋" w:eastAsia="仿宋"/>
              <w:bCs w:val="0"/>
              <w:sz w:val="28"/>
              <w:szCs w:val="28"/>
              <w:highlight w:val="none"/>
              <w:lang w:eastAsia="zh-CN"/>
            </w:rPr>
            <w:t>（此表无数据）</w:t>
          </w:r>
          <w:r>
            <w:rPr>
              <w:sz w:val="28"/>
              <w:szCs w:val="28"/>
            </w:rPr>
            <w:tab/>
          </w:r>
          <w:r>
            <w:rPr>
              <w:sz w:val="28"/>
              <w:szCs w:val="28"/>
            </w:rPr>
            <w:fldChar w:fldCharType="begin"/>
          </w:r>
          <w:r>
            <w:rPr>
              <w:sz w:val="28"/>
              <w:szCs w:val="28"/>
            </w:rPr>
            <w:instrText xml:space="preserve"> PAGEREF _Toc1522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_Toc21065 </w:instrText>
          </w:r>
          <w:r>
            <w:rPr>
              <w:sz w:val="28"/>
              <w:szCs w:val="28"/>
            </w:rPr>
            <w:fldChar w:fldCharType="separate"/>
          </w:r>
          <w:r>
            <w:rPr>
              <w:rFonts w:hint="eastAsia" w:ascii="仿宋" w:hAnsi="仿宋" w:eastAsia="仿宋"/>
              <w:bCs w:val="0"/>
              <w:sz w:val="28"/>
              <w:szCs w:val="28"/>
              <w:highlight w:val="none"/>
            </w:rPr>
            <w:t>十一、</w:t>
          </w:r>
          <w:r>
            <w:rPr>
              <w:rFonts w:hint="eastAsia" w:ascii="仿宋" w:hAnsi="仿宋" w:eastAsia="仿宋"/>
              <w:sz w:val="28"/>
              <w:szCs w:val="28"/>
              <w:highlight w:val="none"/>
            </w:rPr>
            <w:t>政</w:t>
          </w:r>
          <w:r>
            <w:rPr>
              <w:rFonts w:hint="eastAsia" w:ascii="仿宋" w:hAnsi="仿宋" w:eastAsia="仿宋"/>
              <w:bCs w:val="0"/>
              <w:sz w:val="28"/>
              <w:szCs w:val="28"/>
              <w:highlight w:val="none"/>
            </w:rPr>
            <w:t>府性基金预算财政拨款收入支出决算表</w:t>
          </w:r>
          <w:r>
            <w:rPr>
              <w:rFonts w:hint="eastAsia" w:ascii="仿宋" w:hAnsi="仿宋" w:eastAsia="仿宋"/>
              <w:bCs w:val="0"/>
              <w:sz w:val="28"/>
              <w:szCs w:val="28"/>
              <w:highlight w:val="none"/>
              <w:lang w:eastAsia="zh-CN"/>
            </w:rPr>
            <w:t>（此表无数据）</w:t>
          </w:r>
          <w:r>
            <w:rPr>
              <w:sz w:val="28"/>
              <w:szCs w:val="28"/>
            </w:rPr>
            <w:tab/>
          </w:r>
          <w:r>
            <w:rPr>
              <w:sz w:val="28"/>
              <w:szCs w:val="28"/>
            </w:rPr>
            <w:fldChar w:fldCharType="begin"/>
          </w:r>
          <w:r>
            <w:rPr>
              <w:sz w:val="28"/>
              <w:szCs w:val="28"/>
            </w:rPr>
            <w:instrText xml:space="preserve"> PAGEREF _Toc21065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_Toc28238 </w:instrText>
          </w:r>
          <w:r>
            <w:rPr>
              <w:sz w:val="28"/>
              <w:szCs w:val="28"/>
            </w:rPr>
            <w:fldChar w:fldCharType="separate"/>
          </w:r>
          <w:r>
            <w:rPr>
              <w:rFonts w:hint="eastAsia" w:ascii="仿宋" w:hAnsi="仿宋" w:eastAsia="仿宋"/>
              <w:bCs w:val="0"/>
              <w:sz w:val="28"/>
              <w:szCs w:val="28"/>
              <w:highlight w:val="none"/>
            </w:rPr>
            <w:t>十二、</w:t>
          </w:r>
          <w:r>
            <w:rPr>
              <w:rFonts w:hint="eastAsia" w:ascii="仿宋" w:hAnsi="仿宋" w:eastAsia="仿宋"/>
              <w:sz w:val="28"/>
              <w:szCs w:val="28"/>
              <w:highlight w:val="none"/>
            </w:rPr>
            <w:t>政</w:t>
          </w:r>
          <w:r>
            <w:rPr>
              <w:rFonts w:hint="eastAsia" w:ascii="仿宋" w:hAnsi="仿宋" w:eastAsia="仿宋"/>
              <w:bCs w:val="0"/>
              <w:sz w:val="28"/>
              <w:szCs w:val="28"/>
              <w:highlight w:val="none"/>
            </w:rPr>
            <w:t>府性基金预算财政拨款“三公”经费支出决算表</w:t>
          </w:r>
          <w:r>
            <w:rPr>
              <w:rFonts w:hint="eastAsia" w:ascii="仿宋" w:hAnsi="仿宋" w:eastAsia="仿宋"/>
              <w:bCs w:val="0"/>
              <w:sz w:val="28"/>
              <w:szCs w:val="28"/>
              <w:highlight w:val="none"/>
              <w:lang w:eastAsia="zh-CN"/>
            </w:rPr>
            <w:t>（此表无数据）</w:t>
          </w:r>
          <w:r>
            <w:rPr>
              <w:sz w:val="28"/>
              <w:szCs w:val="28"/>
            </w:rPr>
            <w:tab/>
          </w:r>
          <w:r>
            <w:rPr>
              <w:sz w:val="28"/>
              <w:szCs w:val="28"/>
            </w:rPr>
            <w:fldChar w:fldCharType="begin"/>
          </w:r>
          <w:r>
            <w:rPr>
              <w:sz w:val="28"/>
              <w:szCs w:val="28"/>
            </w:rPr>
            <w:instrText xml:space="preserve"> PAGEREF _Toc28238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_Toc25731 </w:instrText>
          </w:r>
          <w:r>
            <w:rPr>
              <w:sz w:val="28"/>
              <w:szCs w:val="28"/>
            </w:rPr>
            <w:fldChar w:fldCharType="separate"/>
          </w:r>
          <w:r>
            <w:rPr>
              <w:rFonts w:hint="eastAsia" w:ascii="仿宋" w:hAnsi="仿宋" w:eastAsia="仿宋"/>
              <w:bCs w:val="0"/>
              <w:sz w:val="28"/>
              <w:szCs w:val="28"/>
              <w:highlight w:val="none"/>
            </w:rPr>
            <w:t>十三、</w:t>
          </w:r>
          <w:r>
            <w:rPr>
              <w:rFonts w:hint="eastAsia" w:ascii="仿宋" w:hAnsi="仿宋" w:eastAsia="仿宋"/>
              <w:sz w:val="28"/>
              <w:szCs w:val="28"/>
              <w:highlight w:val="none"/>
            </w:rPr>
            <w:t>国</w:t>
          </w:r>
          <w:r>
            <w:rPr>
              <w:rFonts w:hint="eastAsia" w:ascii="仿宋" w:hAnsi="仿宋" w:eastAsia="仿宋"/>
              <w:bCs w:val="0"/>
              <w:sz w:val="28"/>
              <w:szCs w:val="28"/>
              <w:highlight w:val="none"/>
            </w:rPr>
            <w:t>有资本经营预算</w:t>
          </w:r>
          <w:r>
            <w:rPr>
              <w:rFonts w:hint="eastAsia" w:ascii="仿宋" w:hAnsi="仿宋" w:eastAsia="仿宋"/>
              <w:bCs w:val="0"/>
              <w:sz w:val="28"/>
              <w:szCs w:val="28"/>
              <w:highlight w:val="none"/>
              <w:lang w:eastAsia="zh-CN"/>
            </w:rPr>
            <w:t>财政拨款收入</w:t>
          </w:r>
          <w:r>
            <w:rPr>
              <w:rFonts w:hint="eastAsia" w:ascii="仿宋" w:hAnsi="仿宋" w:eastAsia="仿宋"/>
              <w:bCs w:val="0"/>
              <w:sz w:val="28"/>
              <w:szCs w:val="28"/>
              <w:highlight w:val="none"/>
            </w:rPr>
            <w:t>支出决算表</w:t>
          </w:r>
          <w:r>
            <w:rPr>
              <w:rFonts w:hint="eastAsia" w:ascii="仿宋" w:hAnsi="仿宋" w:eastAsia="仿宋"/>
              <w:bCs w:val="0"/>
              <w:sz w:val="28"/>
              <w:szCs w:val="28"/>
              <w:highlight w:val="none"/>
              <w:lang w:eastAsia="zh-CN"/>
            </w:rPr>
            <w:t>（此表无数据）</w:t>
          </w:r>
          <w:r>
            <w:rPr>
              <w:sz w:val="28"/>
              <w:szCs w:val="28"/>
            </w:rPr>
            <w:tab/>
          </w:r>
          <w:r>
            <w:rPr>
              <w:sz w:val="28"/>
              <w:szCs w:val="28"/>
            </w:rPr>
            <w:fldChar w:fldCharType="begin"/>
          </w:r>
          <w:r>
            <w:rPr>
              <w:sz w:val="28"/>
              <w:szCs w:val="28"/>
            </w:rPr>
            <w:instrText xml:space="preserve"> PAGEREF _Toc25731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1"/>
            <w:tabs>
              <w:tab w:val="right" w:leader="dot" w:pos="8306"/>
            </w:tabs>
          </w:pPr>
          <w:r>
            <w:rPr>
              <w:sz w:val="28"/>
              <w:szCs w:val="28"/>
            </w:rPr>
            <w:fldChar w:fldCharType="begin"/>
          </w:r>
          <w:r>
            <w:rPr>
              <w:sz w:val="28"/>
              <w:szCs w:val="28"/>
            </w:rPr>
            <w:instrText xml:space="preserve"> HYPERLINK \l _Toc26088 </w:instrText>
          </w:r>
          <w:r>
            <w:rPr>
              <w:sz w:val="28"/>
              <w:szCs w:val="28"/>
            </w:rPr>
            <w:fldChar w:fldCharType="separate"/>
          </w:r>
          <w:r>
            <w:rPr>
              <w:rFonts w:hint="eastAsia" w:ascii="仿宋" w:hAnsi="仿宋" w:eastAsia="仿宋"/>
              <w:bCs w:val="0"/>
              <w:sz w:val="28"/>
              <w:szCs w:val="28"/>
              <w:highlight w:val="none"/>
              <w:lang w:eastAsia="zh-CN"/>
            </w:rPr>
            <w:t>十四、国有资本经营预算财政拨款支出决算表（此表无数据）</w:t>
          </w:r>
          <w:r>
            <w:rPr>
              <w:sz w:val="28"/>
              <w:szCs w:val="28"/>
            </w:rPr>
            <w:tab/>
          </w:r>
          <w:r>
            <w:rPr>
              <w:sz w:val="28"/>
              <w:szCs w:val="28"/>
            </w:rPr>
            <w:fldChar w:fldCharType="begin"/>
          </w:r>
          <w:r>
            <w:rPr>
              <w:sz w:val="28"/>
              <w:szCs w:val="28"/>
            </w:rPr>
            <w:instrText xml:space="preserve"> PAGEREF _Toc26088 </w:instrText>
          </w:r>
          <w:r>
            <w:rPr>
              <w:sz w:val="28"/>
              <w:szCs w:val="28"/>
            </w:rPr>
            <w:fldChar w:fldCharType="separate"/>
          </w:r>
          <w:r>
            <w:rPr>
              <w:sz w:val="28"/>
              <w:szCs w:val="28"/>
            </w:rPr>
            <w:t>21</w:t>
          </w:r>
          <w:r>
            <w:rPr>
              <w:sz w:val="28"/>
              <w:szCs w:val="28"/>
            </w:rPr>
            <w:fldChar w:fldCharType="end"/>
          </w:r>
          <w:r>
            <w:rPr>
              <w:sz w:val="28"/>
              <w:szCs w:val="28"/>
            </w:rPr>
            <w:fldChar w:fldCharType="end"/>
          </w:r>
        </w:p>
        <w:p>
          <w:r>
            <w:rPr>
              <w:b/>
            </w:rPr>
            <w:fldChar w:fldCharType="end"/>
          </w:r>
        </w:p>
      </w:sdtContent>
    </w:sdt>
    <w:p>
      <w:pPr>
        <w:pStyle w:val="3"/>
        <w:jc w:val="both"/>
        <w:rPr>
          <w:rFonts w:hint="eastAsia" w:ascii="黑体" w:hAnsi="黑体" w:eastAsia="黑体"/>
          <w:b w:val="0"/>
          <w:color w:val="auto"/>
          <w:highlight w:val="none"/>
        </w:rPr>
      </w:pPr>
      <w:bookmarkStart w:id="19" w:name="_Toc3341"/>
    </w:p>
    <w:p>
      <w:pPr>
        <w:pStyle w:val="3"/>
        <w:jc w:val="center"/>
        <w:rPr>
          <w:rFonts w:hint="eastAsia" w:ascii="黑体" w:hAnsi="黑体" w:eastAsia="黑体"/>
          <w:b w:val="0"/>
          <w:color w:val="auto"/>
          <w:highlight w:val="none"/>
        </w:rPr>
      </w:pPr>
    </w:p>
    <w:p>
      <w:pPr>
        <w:rPr>
          <w:rFonts w:hint="eastAsia"/>
        </w:rPr>
      </w:pPr>
    </w:p>
    <w:p>
      <w:pPr>
        <w:rPr>
          <w:rFonts w:hint="eastAsia"/>
        </w:rPr>
      </w:pP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6"/>
      <w:bookmarkEnd w:id="17"/>
      <w:bookmarkEnd w:id="18"/>
      <w:bookmarkEnd w:id="19"/>
    </w:p>
    <w:p>
      <w:pPr>
        <w:widowControl/>
        <w:jc w:val="left"/>
        <w:rPr>
          <w:rFonts w:ascii="黑体" w:eastAsia="黑体"/>
          <w:color w:val="auto"/>
          <w:sz w:val="32"/>
          <w:szCs w:val="32"/>
          <w:highlight w:val="none"/>
        </w:rPr>
      </w:pPr>
    </w:p>
    <w:p>
      <w:pPr>
        <w:pStyle w:val="4"/>
        <w:numPr>
          <w:ilvl w:val="0"/>
          <w:numId w:val="1"/>
        </w:numPr>
        <w:ind w:firstLine="640" w:firstLineChars="200"/>
        <w:rPr>
          <w:rStyle w:val="25"/>
          <w:rFonts w:hint="eastAsia" w:ascii="黑体" w:hAnsi="黑体" w:eastAsia="黑体"/>
          <w:b w:val="0"/>
          <w:bCs w:val="0"/>
          <w:color w:val="auto"/>
          <w:highlight w:val="none"/>
          <w:lang w:eastAsia="zh-CN"/>
        </w:rPr>
      </w:pPr>
      <w:bookmarkStart w:id="20" w:name="_Toc20626"/>
      <w:bookmarkStart w:id="21" w:name="_Toc15396600"/>
      <w:bookmarkStart w:id="22" w:name="_Toc15377197"/>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bookmarkEnd w:id="20"/>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攀枝花市第二人民医院始建于1967年，是集医疗、教学、科研、预防、保健、康复、社区为一体的国家三级乙等综合医院，省政府确立的攀西职业病防治中心、攀西医养康复示范中心。医院编制床位</w:t>
      </w:r>
      <w:r>
        <w:rPr>
          <w:rFonts w:hint="eastAsia" w:ascii="仿宋" w:hAnsi="仿宋" w:eastAsia="仿宋"/>
          <w:color w:val="auto"/>
          <w:sz w:val="32"/>
          <w:szCs w:val="32"/>
          <w:highlight w:val="none"/>
          <w:lang w:val="en-US" w:eastAsia="zh-CN"/>
        </w:rPr>
        <w:t>800</w:t>
      </w:r>
      <w:r>
        <w:rPr>
          <w:rFonts w:hint="eastAsia" w:ascii="仿宋" w:hAnsi="仿宋" w:eastAsia="仿宋"/>
          <w:color w:val="auto"/>
          <w:sz w:val="32"/>
          <w:szCs w:val="32"/>
          <w:highlight w:val="none"/>
        </w:rPr>
        <w:t>张，职工</w:t>
      </w:r>
      <w:r>
        <w:rPr>
          <w:rFonts w:hint="eastAsia" w:ascii="仿宋" w:hAnsi="仿宋" w:eastAsia="仿宋"/>
          <w:color w:val="auto"/>
          <w:sz w:val="32"/>
          <w:szCs w:val="32"/>
          <w:highlight w:val="none"/>
          <w:lang w:val="en-US" w:eastAsia="zh-CN"/>
        </w:rPr>
        <w:t>621</w:t>
      </w:r>
      <w:r>
        <w:rPr>
          <w:rFonts w:hint="eastAsia" w:ascii="仿宋" w:hAnsi="仿宋" w:eastAsia="仿宋"/>
          <w:color w:val="auto"/>
          <w:sz w:val="32"/>
          <w:szCs w:val="32"/>
          <w:highlight w:val="none"/>
        </w:rPr>
        <w:t>人,高级专业技术人员1</w:t>
      </w:r>
      <w:r>
        <w:rPr>
          <w:rFonts w:hint="eastAsia" w:ascii="仿宋" w:hAnsi="仿宋" w:eastAsia="仿宋"/>
          <w:color w:val="auto"/>
          <w:sz w:val="32"/>
          <w:szCs w:val="32"/>
          <w:highlight w:val="none"/>
          <w:lang w:val="en-US" w:eastAsia="zh-CN"/>
        </w:rPr>
        <w:t>62人</w:t>
      </w:r>
      <w:r>
        <w:rPr>
          <w:rFonts w:hint="eastAsia" w:ascii="仿宋" w:hAnsi="仿宋" w:eastAsia="仿宋"/>
          <w:color w:val="auto"/>
          <w:sz w:val="32"/>
          <w:szCs w:val="32"/>
          <w:highlight w:val="none"/>
        </w:rPr>
        <w:t>（正高4</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配有1.5T核磁共振、多排螺旋CT、脊柱内镜系统、DSA、乳腺X光机、DR、高压氧舱等现代化诊疗设备。年门诊26万人次，年住院2.1万人次，年手术4000余台次。2019年国家三级公立医院绩效考核中，医院名列全省第51名。</w:t>
      </w:r>
    </w:p>
    <w:p>
      <w:pPr>
        <w:pStyle w:val="4"/>
        <w:numPr>
          <w:ilvl w:val="0"/>
          <w:numId w:val="0"/>
        </w:numPr>
        <w:ind w:firstLine="640" w:firstLineChars="200"/>
        <w:rPr>
          <w:rFonts w:hint="eastAsia" w:ascii="黑体" w:hAnsi="黑体" w:eastAsia="黑体"/>
          <w:b w:val="0"/>
          <w:color w:val="auto"/>
          <w:highlight w:val="none"/>
        </w:rPr>
      </w:pPr>
      <w:bookmarkStart w:id="23" w:name="_Toc16374"/>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21"/>
      <w:bookmarkEnd w:id="22"/>
      <w:r>
        <w:rPr>
          <w:rFonts w:hint="eastAsia" w:ascii="黑体" w:hAnsi="黑体" w:eastAsia="黑体"/>
          <w:b w:val="0"/>
          <w:color w:val="auto"/>
          <w:highlight w:val="none"/>
          <w:lang w:eastAsia="zh-CN"/>
        </w:rPr>
        <w:t>完成情况</w:t>
      </w:r>
      <w:bookmarkEnd w:id="23"/>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w:t>
      </w:r>
      <w:r>
        <w:rPr>
          <w:rFonts w:hint="eastAsia" w:ascii="仿宋" w:hAnsi="仿宋" w:eastAsia="仿宋"/>
          <w:color w:val="auto"/>
          <w:sz w:val="32"/>
          <w:szCs w:val="32"/>
          <w:highlight w:val="none"/>
        </w:rPr>
        <w:t>深入贯彻圈层战略</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突出落实建设区域性中心城市战略中的医院作为，按照市委融入“双城”经济圈和“三个圈层”“三大”战略，通过沟通联系，深化合作，建立攀西脊柱微创治疗华西曾建成专家工作站、成都中医大心血管专家何春水工作站；与重庆医科大学附属儿童医院、附属医院青杠养护院签订合作协议，成为重医附二院骨科微创专科联盟成员单位，扎实开展人才技术帮扶、科研教学、学术交流。</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2.</w:t>
      </w:r>
      <w:r>
        <w:rPr>
          <w:rFonts w:hint="eastAsia" w:ascii="仿宋" w:hAnsi="仿宋" w:eastAsia="仿宋"/>
          <w:color w:val="auto"/>
          <w:sz w:val="32"/>
          <w:szCs w:val="32"/>
          <w:highlight w:val="none"/>
        </w:rPr>
        <w:t>开展新冠疫情常态化防控</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健全制度，不断完善医院防控体系。</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严格执行新冠疫情防控</w:t>
      </w:r>
      <w:r>
        <w:rPr>
          <w:rFonts w:hint="eastAsia" w:ascii="仿宋" w:hAnsi="仿宋" w:eastAsia="仿宋"/>
          <w:color w:val="auto"/>
          <w:sz w:val="32"/>
          <w:szCs w:val="32"/>
          <w:highlight w:val="none"/>
          <w:lang w:eastAsia="zh-CN"/>
        </w:rPr>
        <w:t>各项</w:t>
      </w:r>
      <w:r>
        <w:rPr>
          <w:rFonts w:hint="eastAsia" w:ascii="仿宋" w:hAnsi="仿宋" w:eastAsia="仿宋"/>
          <w:color w:val="auto"/>
          <w:sz w:val="32"/>
          <w:szCs w:val="32"/>
          <w:highlight w:val="none"/>
        </w:rPr>
        <w:t>制度，坚决贯彻落实</w:t>
      </w:r>
      <w:r>
        <w:rPr>
          <w:rFonts w:hint="eastAsia" w:ascii="仿宋" w:hAnsi="仿宋" w:eastAsia="仿宋"/>
          <w:color w:val="auto"/>
          <w:sz w:val="32"/>
          <w:szCs w:val="32"/>
          <w:highlight w:val="none"/>
          <w:lang w:eastAsia="zh-CN"/>
        </w:rPr>
        <w:t>预检分诊和</w:t>
      </w:r>
      <w:r>
        <w:rPr>
          <w:rFonts w:hint="eastAsia" w:ascii="仿宋" w:hAnsi="仿宋" w:eastAsia="仿宋"/>
          <w:color w:val="auto"/>
          <w:sz w:val="32"/>
          <w:szCs w:val="32"/>
          <w:highlight w:val="none"/>
        </w:rPr>
        <w:t>首诊负责制，</w:t>
      </w:r>
      <w:r>
        <w:rPr>
          <w:rFonts w:hint="eastAsia" w:ascii="仿宋" w:hAnsi="仿宋" w:eastAsia="仿宋"/>
          <w:color w:val="auto"/>
          <w:sz w:val="32"/>
          <w:szCs w:val="32"/>
          <w:highlight w:val="none"/>
          <w:lang w:eastAsia="zh-CN"/>
        </w:rPr>
        <w:t>落实“六个一”举措，严格落实发热门诊“三个必须制度，</w:t>
      </w:r>
      <w:r>
        <w:rPr>
          <w:rFonts w:hint="eastAsia" w:ascii="仿宋" w:hAnsi="仿宋" w:eastAsia="仿宋"/>
          <w:color w:val="auto"/>
          <w:sz w:val="32"/>
          <w:szCs w:val="32"/>
          <w:highlight w:val="none"/>
        </w:rPr>
        <w:t>实行闭环管理，</w:t>
      </w:r>
      <w:r>
        <w:rPr>
          <w:rFonts w:hint="eastAsia" w:ascii="仿宋" w:hAnsi="仿宋" w:eastAsia="仿宋"/>
          <w:color w:val="auto"/>
          <w:sz w:val="32"/>
          <w:szCs w:val="32"/>
          <w:highlight w:val="none"/>
          <w:lang w:eastAsia="zh-CN"/>
        </w:rPr>
        <w:t>严格执行病区管理制度和核酸检测频次要求，持续发挥多点检测作用，压实责任，落实“四早”，坚持院感防控四项机制，守牢院感防控底线</w:t>
      </w:r>
      <w:r>
        <w:rPr>
          <w:rFonts w:hint="eastAsia" w:ascii="仿宋" w:hAnsi="仿宋" w:eastAsia="仿宋"/>
          <w:color w:val="auto"/>
          <w:sz w:val="32"/>
          <w:szCs w:val="32"/>
          <w:highlight w:val="none"/>
        </w:rPr>
        <w:t>。强化学习，防控知识培训全覆盖</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严格督导检查，全面排查感染隐患。做好定点医院腾空启用准备。</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3.</w:t>
      </w:r>
      <w:r>
        <w:rPr>
          <w:rFonts w:hint="eastAsia" w:ascii="仿宋" w:hAnsi="仿宋" w:eastAsia="仿宋"/>
          <w:color w:val="auto"/>
          <w:sz w:val="32"/>
          <w:szCs w:val="32"/>
          <w:highlight w:val="none"/>
        </w:rPr>
        <w:t>医疗改革持续深化。</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推进区域医联体建设，修订完善《攀枝花市第二人民医院医联体章程》，充分发挥牵头医院的专业技术和管理优势，通过“坐诊、会诊、查房、手术指导、讲座培训”等多措并举，实现优质医疗资源下沉，派出8名医疗技术骨干到社区卫生服务中心挂职副主任。</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4.</w:t>
      </w:r>
      <w:r>
        <w:rPr>
          <w:rFonts w:hint="eastAsia" w:ascii="仿宋" w:hAnsi="仿宋" w:eastAsia="仿宋"/>
          <w:color w:val="auto"/>
          <w:sz w:val="32"/>
          <w:szCs w:val="32"/>
          <w:highlight w:val="none"/>
        </w:rPr>
        <w:t>学科建设取得成效。</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以学科建设领航的理念，扎实开展“学科建设年”活动，</w:t>
      </w:r>
      <w:r>
        <w:rPr>
          <w:rFonts w:hint="eastAsia" w:ascii="仿宋" w:hAnsi="仿宋" w:eastAsia="仿宋"/>
          <w:color w:val="auto"/>
          <w:sz w:val="32"/>
          <w:szCs w:val="32"/>
          <w:highlight w:val="none"/>
          <w:lang w:val="zh-CN" w:eastAsia="zh-Hans"/>
        </w:rPr>
        <w:t>职业病科、呼吸科、儿科、骨科（脊柱外科、关节外科）、泌尿外科、老年医学科、麻醉科建成市级重点，职业病科成为省级重点，呼吸与危重症医学科为省级在建重点。</w:t>
      </w:r>
      <w:r>
        <w:rPr>
          <w:rFonts w:hint="eastAsia" w:ascii="仿宋" w:hAnsi="仿宋" w:eastAsia="仿宋"/>
          <w:color w:val="auto"/>
          <w:sz w:val="32"/>
          <w:szCs w:val="32"/>
          <w:highlight w:val="none"/>
        </w:rPr>
        <w:t>推动儿科、麻醉科创建省级重点专科。</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5.</w:t>
      </w:r>
      <w:r>
        <w:rPr>
          <w:rFonts w:hint="eastAsia" w:ascii="仿宋" w:hAnsi="仿宋" w:eastAsia="仿宋"/>
          <w:color w:val="auto"/>
          <w:sz w:val="32"/>
          <w:szCs w:val="32"/>
          <w:highlight w:val="none"/>
        </w:rPr>
        <w:t>职防建设稳步推进。</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利用牵头攀西职业病防治联合体的优势，举办联合体年度会议和学术技术交流，成员单位增至17个新增加10个。强化职业医学质控中心建设，定期组织全市质控专家召开专家会及学术交流会，并开展全市职业医学质量控制工作。承担国家建设3个尘肺康复站（凉山州2个，攀枝花1个）建设技术指导工作。</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6.</w:t>
      </w:r>
      <w:r>
        <w:rPr>
          <w:rFonts w:hint="eastAsia" w:ascii="仿宋" w:hAnsi="仿宋" w:eastAsia="仿宋"/>
          <w:color w:val="auto"/>
          <w:sz w:val="32"/>
          <w:szCs w:val="32"/>
          <w:highlight w:val="none"/>
        </w:rPr>
        <w:t>康养产业引领示范。</w:t>
      </w:r>
    </w:p>
    <w:p>
      <w:pPr>
        <w:spacing w:line="600" w:lineRule="exact"/>
        <w:ind w:firstLine="640" w:firstLineChars="200"/>
        <w:rPr>
          <w:rFonts w:ascii="仿宋" w:hAnsi="仿宋" w:eastAsia="仿宋"/>
          <w:color w:val="auto"/>
          <w:kern w:val="0"/>
          <w:sz w:val="32"/>
          <w:szCs w:val="32"/>
          <w:highlight w:val="none"/>
        </w:rPr>
      </w:pPr>
      <w:r>
        <w:rPr>
          <w:rFonts w:hint="eastAsia" w:ascii="仿宋" w:hAnsi="仿宋" w:eastAsia="仿宋"/>
          <w:color w:val="auto"/>
          <w:sz w:val="32"/>
          <w:szCs w:val="32"/>
          <w:highlight w:val="none"/>
          <w:lang w:val="en-US" w:eastAsia="zh-CN"/>
        </w:rPr>
        <w:t>我院攀枝花市医养康复示范中心成为攀枝花市康养学院培训实践就业基地及实训基地、攀枝花首批安宁疗护按床日付费试点医院。成功举办“医养结合护理新模式研讨班”省级继教学术会，创建老年友善医院，开展居家上门服务。得到广大群众、患者、和上级部门的高度评价，形成良好引领示范。</w:t>
      </w:r>
      <w:r>
        <w:rPr>
          <w:rFonts w:hint="eastAsia" w:ascii="仿宋_GB2312" w:hAnsi="仿宋_GB2312" w:eastAsia="仿宋_GB2312" w:cs="仿宋_GB2312"/>
          <w:color w:val="auto"/>
          <w:sz w:val="28"/>
          <w:szCs w:val="28"/>
          <w:highlight w:val="none"/>
        </w:rPr>
        <w:br w:type="page"/>
      </w:r>
    </w:p>
    <w:p>
      <w:pPr>
        <w:pStyle w:val="3"/>
        <w:ind w:right="440"/>
        <w:jc w:val="center"/>
        <w:rPr>
          <w:color w:val="auto"/>
          <w:highlight w:val="none"/>
        </w:rPr>
      </w:pPr>
      <w:bookmarkStart w:id="24" w:name="_Toc15377204"/>
      <w:bookmarkStart w:id="25" w:name="_Toc15396602"/>
      <w:bookmarkStart w:id="26" w:name="_Toc3792"/>
      <w:bookmarkStart w:id="27" w:name="_Toc1760"/>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4"/>
      <w:bookmarkEnd w:id="25"/>
      <w:bookmarkEnd w:id="26"/>
      <w:bookmarkEnd w:id="27"/>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8" w:name="_Toc27157"/>
      <w:bookmarkStart w:id="29" w:name="_Toc15377205"/>
      <w:bookmarkStart w:id="30"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8"/>
      <w:bookmarkEnd w:id="29"/>
      <w:bookmarkEnd w:id="30"/>
    </w:p>
    <w:p>
      <w:pPr>
        <w:spacing w:line="600" w:lineRule="exact"/>
        <w:ind w:firstLine="640" w:firstLineChars="200"/>
        <w:rPr>
          <w:rFonts w:hint="default"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21</w:t>
      </w:r>
      <w:r>
        <w:rPr>
          <w:rFonts w:hint="eastAsia" w:ascii="仿宋" w:hAnsi="仿宋" w:eastAsia="仿宋"/>
          <w:color w:val="000000" w:themeColor="text1"/>
          <w:sz w:val="32"/>
          <w:szCs w:val="32"/>
          <w:highlight w:val="none"/>
          <w14:textFill>
            <w14:solidFill>
              <w14:schemeClr w14:val="tx1"/>
            </w14:solidFill>
          </w14:textFill>
        </w:rPr>
        <w:t>年度收</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支总计</w:t>
      </w:r>
      <w:r>
        <w:rPr>
          <w:rFonts w:hint="eastAsia" w:ascii="仿宋" w:hAnsi="仿宋" w:eastAsia="仿宋"/>
          <w:color w:val="000000" w:themeColor="text1"/>
          <w:sz w:val="32"/>
          <w:szCs w:val="32"/>
          <w:highlight w:val="none"/>
          <w:lang w:val="en-US" w:eastAsia="zh-CN"/>
          <w14:textFill>
            <w14:solidFill>
              <w14:schemeClr w14:val="tx1"/>
            </w14:solidFill>
          </w14:textFill>
        </w:rPr>
        <w:t>22719.12</w:t>
      </w:r>
      <w:r>
        <w:rPr>
          <w:rFonts w:hint="eastAsia" w:ascii="仿宋" w:hAnsi="仿宋" w:eastAsia="仿宋"/>
          <w:color w:val="000000" w:themeColor="text1"/>
          <w:sz w:val="32"/>
          <w:szCs w:val="32"/>
          <w:highlight w:val="none"/>
          <w14:textFill>
            <w14:solidFill>
              <w14:schemeClr w14:val="tx1"/>
            </w14:solidFill>
          </w14:textFill>
        </w:rPr>
        <w:t>万元。与20</w:t>
      </w:r>
      <w:r>
        <w:rPr>
          <w:rFonts w:hint="eastAsia" w:ascii="仿宋" w:hAnsi="仿宋" w:eastAsia="仿宋"/>
          <w:color w:val="000000" w:themeColor="text1"/>
          <w:sz w:val="32"/>
          <w:szCs w:val="32"/>
          <w:highlight w:val="none"/>
          <w:lang w:val="en-US" w:eastAsia="zh-CN"/>
          <w14:textFill>
            <w14:solidFill>
              <w14:schemeClr w14:val="tx1"/>
            </w14:solidFill>
          </w14:textFill>
        </w:rPr>
        <w:t>20</w:t>
      </w:r>
      <w:r>
        <w:rPr>
          <w:rFonts w:hint="eastAsia" w:ascii="仿宋" w:hAnsi="仿宋" w:eastAsia="仿宋"/>
          <w:color w:val="000000" w:themeColor="text1"/>
          <w:sz w:val="32"/>
          <w:szCs w:val="32"/>
          <w:highlight w:val="none"/>
          <w14:textFill>
            <w14:solidFill>
              <w14:schemeClr w14:val="tx1"/>
            </w14:solidFill>
          </w14:textFill>
        </w:rPr>
        <w:t>年相比，增加</w:t>
      </w:r>
      <w:r>
        <w:rPr>
          <w:rFonts w:hint="eastAsia" w:ascii="仿宋" w:hAnsi="仿宋" w:eastAsia="仿宋"/>
          <w:color w:val="000000" w:themeColor="text1"/>
          <w:sz w:val="32"/>
          <w:szCs w:val="32"/>
          <w:highlight w:val="none"/>
          <w:lang w:val="en-US" w:eastAsia="zh-CN"/>
          <w14:textFill>
            <w14:solidFill>
              <w14:schemeClr w14:val="tx1"/>
            </w14:solidFill>
          </w14:textFill>
        </w:rPr>
        <w:t>1532.12</w:t>
      </w:r>
      <w:r>
        <w:rPr>
          <w:rFonts w:hint="eastAsia" w:ascii="仿宋" w:hAnsi="仿宋" w:eastAsia="仿宋"/>
          <w:color w:val="000000" w:themeColor="text1"/>
          <w:sz w:val="32"/>
          <w:szCs w:val="32"/>
          <w:highlight w:val="none"/>
          <w14:textFill>
            <w14:solidFill>
              <w14:schemeClr w14:val="tx1"/>
            </w14:solidFill>
          </w14:textFill>
        </w:rPr>
        <w:t>万元，增长</w:t>
      </w:r>
      <w:r>
        <w:rPr>
          <w:rFonts w:hint="eastAsia" w:ascii="仿宋" w:hAnsi="仿宋" w:eastAsia="仿宋"/>
          <w:color w:val="000000" w:themeColor="text1"/>
          <w:sz w:val="32"/>
          <w:szCs w:val="32"/>
          <w:highlight w:val="none"/>
          <w:lang w:val="en-US" w:eastAsia="zh-CN"/>
          <w14:textFill>
            <w14:solidFill>
              <w14:schemeClr w14:val="tx1"/>
            </w14:solidFill>
          </w14:textFill>
        </w:rPr>
        <w:t>7.23</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受新冠疫情影响，支出增长速度较大。</w:t>
      </w:r>
    </w:p>
    <w:p>
      <w:pPr>
        <w:pStyle w:val="2"/>
        <w:rPr>
          <w:rFonts w:ascii="仿宋_GB2312" w:eastAsia="仿宋_GB2312"/>
          <w:color w:val="auto"/>
          <w:sz w:val="32"/>
          <w:szCs w:val="32"/>
          <w:highlight w:val="none"/>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1" w:name="_Toc15396604"/>
      <w:bookmarkStart w:id="32" w:name="_Toc29451"/>
      <w:bookmarkStart w:id="33"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31"/>
      <w:bookmarkEnd w:id="32"/>
      <w:bookmarkEnd w:id="33"/>
    </w:p>
    <w:p>
      <w:pPr>
        <w:spacing w:line="600" w:lineRule="exact"/>
        <w:ind w:firstLine="640" w:firstLineChars="200"/>
        <w:outlineLvl w:val="1"/>
        <w:rPr>
          <w:rFonts w:ascii="仿宋" w:hAnsi="仿宋" w:eastAsia="仿宋"/>
          <w:color w:val="auto"/>
          <w:sz w:val="32"/>
          <w:szCs w:val="32"/>
          <w:highlight w:val="none"/>
        </w:rPr>
      </w:pPr>
      <w:bookmarkStart w:id="34" w:name="_Toc2895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21621.15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1971.42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9.12</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19424.9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89.84</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224.83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pStyle w:val="2"/>
        <w:rPr>
          <w:rFonts w:ascii="仿宋_GB2312" w:eastAsia="仿宋_GB2312"/>
          <w:color w:val="auto"/>
          <w:sz w:val="32"/>
          <w:szCs w:val="32"/>
          <w:highlight w:val="none"/>
        </w:rPr>
      </w:pPr>
      <w:r>
        <w:drawing>
          <wp:inline distT="0" distB="0" distL="114300" distR="114300">
            <wp:extent cx="4572000" cy="1824990"/>
            <wp:effectExtent l="4445" t="4445" r="14605" b="18415"/>
            <wp:docPr id="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5" w:name="_Toc15377207"/>
      <w:bookmarkStart w:id="36" w:name="_Toc15396605"/>
      <w:bookmarkStart w:id="37" w:name="_Toc23040"/>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5"/>
      <w:bookmarkEnd w:id="36"/>
      <w:bookmarkEnd w:id="37"/>
    </w:p>
    <w:p>
      <w:pPr>
        <w:spacing w:line="600" w:lineRule="exact"/>
        <w:ind w:firstLine="640" w:firstLineChars="200"/>
        <w:outlineLvl w:val="1"/>
        <w:rPr>
          <w:rFonts w:ascii="仿宋" w:hAnsi="仿宋" w:eastAsia="仿宋"/>
          <w:color w:val="auto"/>
          <w:sz w:val="32"/>
          <w:szCs w:val="32"/>
          <w:highlight w:val="none"/>
          <w:shd w:val="pct10" w:color="auto" w:fill="FFFFFF"/>
        </w:rPr>
      </w:pPr>
      <w:bookmarkStart w:id="38" w:name="_Toc1132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22719.12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22588.65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99.43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130.47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8"/>
    </w:p>
    <w:p>
      <w:pPr>
        <w:pStyle w:val="2"/>
        <w:rPr>
          <w:rFonts w:ascii="仿宋_GB2312" w:eastAsia="仿宋_GB2312"/>
          <w:color w:val="auto"/>
          <w:sz w:val="32"/>
          <w:szCs w:val="32"/>
          <w:highlight w:val="none"/>
        </w:rPr>
      </w:pPr>
      <w:r>
        <w:drawing>
          <wp:inline distT="0" distB="0" distL="114300" distR="114300">
            <wp:extent cx="4572000" cy="2241550"/>
            <wp:effectExtent l="5080" t="4445" r="13970" b="2095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color w:val="000000" w:themeColor="text1"/>
          <w:highlight w:val="none"/>
          <w14:textFill>
            <w14:solidFill>
              <w14:schemeClr w14:val="tx1"/>
            </w14:solidFill>
          </w14:textFill>
        </w:rPr>
      </w:pPr>
      <w:bookmarkStart w:id="39" w:name="_Toc15377208"/>
      <w:bookmarkStart w:id="40" w:name="_Toc15396606"/>
      <w:bookmarkStart w:id="41" w:name="_Toc11322"/>
      <w:r>
        <w:rPr>
          <w:rFonts w:hint="eastAsia" w:ascii="黑体" w:hAnsi="黑体" w:eastAsia="黑体"/>
          <w:color w:val="000000" w:themeColor="text1"/>
          <w:sz w:val="32"/>
          <w:szCs w:val="32"/>
          <w:highlight w:val="none"/>
          <w14:textFill>
            <w14:solidFill>
              <w14:schemeClr w14:val="tx1"/>
            </w14:solidFill>
          </w14:textFill>
        </w:rPr>
        <w:t>四、财</w:t>
      </w:r>
      <w:r>
        <w:rPr>
          <w:rStyle w:val="25"/>
          <w:rFonts w:hint="eastAsia" w:ascii="黑体" w:hAnsi="黑体" w:eastAsia="黑体"/>
          <w:b w:val="0"/>
          <w:color w:val="000000" w:themeColor="text1"/>
          <w:highlight w:val="none"/>
          <w14:textFill>
            <w14:solidFill>
              <w14:schemeClr w14:val="tx1"/>
            </w14:solidFill>
          </w14:textFill>
        </w:rPr>
        <w:t>政拨款收入支出决算总体情况说明</w:t>
      </w:r>
      <w:bookmarkEnd w:id="39"/>
      <w:bookmarkEnd w:id="40"/>
      <w:bookmarkEnd w:id="41"/>
    </w:p>
    <w:p>
      <w:pPr>
        <w:spacing w:line="600" w:lineRule="exact"/>
        <w:ind w:firstLine="640"/>
        <w:rPr>
          <w:rFonts w:hint="eastAsia" w:ascii="仿宋" w:hAnsi="仿宋" w:eastAsia="仿宋"/>
          <w:b/>
          <w:color w:val="000000" w:themeColor="text1"/>
          <w:sz w:val="32"/>
          <w:szCs w:val="32"/>
          <w:highlight w:val="none"/>
          <w:lang w:eastAsia="zh-CN"/>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21</w:t>
      </w:r>
      <w:r>
        <w:rPr>
          <w:rFonts w:hint="eastAsia" w:ascii="仿宋" w:hAnsi="仿宋" w:eastAsia="仿宋"/>
          <w:color w:val="000000" w:themeColor="text1"/>
          <w:sz w:val="32"/>
          <w:szCs w:val="32"/>
          <w:highlight w:val="none"/>
          <w14:textFill>
            <w14:solidFill>
              <w14:schemeClr w14:val="tx1"/>
            </w14:solidFill>
          </w14:textFill>
        </w:rPr>
        <w:t>年财政拨款收</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支总计</w:t>
      </w:r>
      <w:r>
        <w:rPr>
          <w:rFonts w:hint="eastAsia" w:ascii="仿宋" w:hAnsi="仿宋" w:eastAsia="仿宋"/>
          <w:color w:val="000000" w:themeColor="text1"/>
          <w:sz w:val="32"/>
          <w:szCs w:val="32"/>
          <w:highlight w:val="none"/>
          <w:lang w:val="en-US" w:eastAsia="zh-CN"/>
          <w14:textFill>
            <w14:solidFill>
              <w14:schemeClr w14:val="tx1"/>
            </w14:solidFill>
          </w14:textFill>
        </w:rPr>
        <w:t>1985.48</w:t>
      </w:r>
      <w:r>
        <w:rPr>
          <w:rFonts w:hint="eastAsia" w:ascii="仿宋" w:hAnsi="仿宋" w:eastAsia="仿宋"/>
          <w:color w:val="000000" w:themeColor="text1"/>
          <w:sz w:val="32"/>
          <w:szCs w:val="32"/>
          <w:highlight w:val="none"/>
          <w14:textFill>
            <w14:solidFill>
              <w14:schemeClr w14:val="tx1"/>
            </w14:solidFill>
          </w14:textFill>
        </w:rPr>
        <w:t>万元。与</w:t>
      </w: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20</w:t>
      </w:r>
      <w:r>
        <w:rPr>
          <w:rFonts w:hint="eastAsia" w:ascii="仿宋" w:hAnsi="仿宋" w:eastAsia="仿宋"/>
          <w:color w:val="000000" w:themeColor="text1"/>
          <w:sz w:val="32"/>
          <w:szCs w:val="32"/>
          <w:highlight w:val="none"/>
          <w14:textFill>
            <w14:solidFill>
              <w14:schemeClr w14:val="tx1"/>
            </w14:solidFill>
          </w14:textFill>
        </w:rPr>
        <w:t>年相比，财政拨款收</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支总计减少</w:t>
      </w:r>
      <w:r>
        <w:rPr>
          <w:rFonts w:hint="eastAsia" w:ascii="仿宋" w:hAnsi="仿宋" w:eastAsia="仿宋"/>
          <w:color w:val="000000" w:themeColor="text1"/>
          <w:sz w:val="32"/>
          <w:szCs w:val="32"/>
          <w:highlight w:val="none"/>
          <w:lang w:val="en-US" w:eastAsia="zh-CN"/>
          <w14:textFill>
            <w14:solidFill>
              <w14:schemeClr w14:val="tx1"/>
            </w14:solidFill>
          </w14:textFill>
        </w:rPr>
        <w:t>168.88</w:t>
      </w:r>
      <w:r>
        <w:rPr>
          <w:rFonts w:hint="eastAsia" w:ascii="仿宋" w:hAnsi="仿宋" w:eastAsia="仿宋"/>
          <w:color w:val="000000" w:themeColor="text1"/>
          <w:sz w:val="32"/>
          <w:szCs w:val="32"/>
          <w:highlight w:val="none"/>
          <w14:textFill>
            <w14:solidFill>
              <w14:schemeClr w14:val="tx1"/>
            </w14:solidFill>
          </w14:textFill>
        </w:rPr>
        <w:t>万元，下降</w:t>
      </w:r>
      <w:r>
        <w:rPr>
          <w:rFonts w:hint="eastAsia" w:ascii="仿宋" w:hAnsi="仿宋" w:eastAsia="仿宋"/>
          <w:color w:val="000000" w:themeColor="text1"/>
          <w:sz w:val="32"/>
          <w:szCs w:val="32"/>
          <w:highlight w:val="none"/>
          <w:lang w:val="en-US" w:eastAsia="zh-CN"/>
          <w14:textFill>
            <w14:solidFill>
              <w14:schemeClr w14:val="tx1"/>
            </w14:solidFill>
          </w14:textFill>
        </w:rPr>
        <w:t>7.84</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财政减少了预算指标。</w:t>
      </w:r>
    </w:p>
    <w:p>
      <w:pPr>
        <w:pStyle w:val="2"/>
        <w:rPr>
          <w:rFonts w:ascii="仿宋" w:hAnsi="仿宋" w:eastAsia="仿宋"/>
          <w:b/>
          <w:color w:val="auto"/>
          <w:sz w:val="32"/>
          <w:szCs w:val="32"/>
          <w:highlight w:val="none"/>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42" w:name="_Toc15396607"/>
      <w:bookmarkStart w:id="43" w:name="_Toc15377209"/>
      <w:bookmarkStart w:id="44" w:name="_Toc12243"/>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2"/>
      <w:bookmarkEnd w:id="43"/>
      <w:bookmarkEnd w:id="44"/>
    </w:p>
    <w:p>
      <w:pPr>
        <w:spacing w:line="600" w:lineRule="exact"/>
        <w:ind w:firstLine="640" w:firstLineChars="200"/>
        <w:outlineLvl w:val="2"/>
        <w:rPr>
          <w:rFonts w:ascii="仿宋" w:hAnsi="仿宋" w:eastAsia="仿宋"/>
          <w:b/>
          <w:color w:val="auto"/>
          <w:sz w:val="32"/>
          <w:szCs w:val="32"/>
          <w:highlight w:val="none"/>
        </w:rPr>
      </w:pPr>
      <w:bookmarkStart w:id="45" w:name="_Toc15377210"/>
      <w:r>
        <w:rPr>
          <w:rFonts w:hint="eastAsia" w:ascii="仿宋" w:hAnsi="仿宋" w:eastAsia="仿宋"/>
          <w:b/>
          <w:color w:val="auto"/>
          <w:sz w:val="32"/>
          <w:szCs w:val="32"/>
          <w:highlight w:val="none"/>
        </w:rPr>
        <w:t>（一）一般公共预算财政拨款支出决算总体情况</w:t>
      </w:r>
      <w:bookmarkEnd w:id="45"/>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1985.48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8.74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1174.27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144.76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财政拨款收入分类导致，</w:t>
      </w:r>
      <w:r>
        <w:rPr>
          <w:rFonts w:hint="eastAsia" w:ascii="仿宋" w:hAnsi="仿宋" w:eastAsia="仿宋"/>
          <w:color w:val="auto"/>
          <w:sz w:val="32"/>
          <w:szCs w:val="32"/>
          <w:highlight w:val="none"/>
          <w:lang w:val="en-US" w:eastAsia="zh-CN"/>
        </w:rPr>
        <w:t>2020年有政府性基金预算财政拨款收入1343.45万元，而2021年无。</w:t>
      </w:r>
    </w:p>
    <w:p>
      <w:pPr>
        <w:pStyle w:val="2"/>
        <w:rPr>
          <w:rFonts w:ascii="仿宋" w:hAnsi="仿宋" w:eastAsia="仿宋"/>
          <w:color w:val="auto"/>
          <w:sz w:val="32"/>
          <w:szCs w:val="32"/>
          <w:highlight w:val="none"/>
        </w:rPr>
      </w:pPr>
      <w: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2"/>
        <w:rPr>
          <w:rFonts w:ascii="仿宋" w:hAnsi="仿宋" w:eastAsia="仿宋"/>
          <w:b/>
          <w:color w:val="auto"/>
          <w:sz w:val="32"/>
          <w:szCs w:val="32"/>
          <w:highlight w:val="none"/>
        </w:rPr>
      </w:pPr>
      <w:bookmarkStart w:id="46" w:name="_Toc15377211"/>
      <w:r>
        <w:rPr>
          <w:rFonts w:hint="eastAsia" w:ascii="仿宋" w:hAnsi="仿宋" w:eastAsia="仿宋"/>
          <w:b/>
          <w:color w:val="auto"/>
          <w:sz w:val="32"/>
          <w:szCs w:val="32"/>
          <w:highlight w:val="none"/>
        </w:rPr>
        <w:t>（二）一般公共预算财政拨款支出决算结构情况</w:t>
      </w:r>
      <w:bookmarkEnd w:id="46"/>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1985.48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6.53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1648.48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330.47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16.64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ascii="仿宋" w:hAnsi="仿宋" w:eastAsia="仿宋"/>
          <w:color w:val="auto"/>
          <w:sz w:val="32"/>
          <w:szCs w:val="32"/>
          <w:highlight w:val="none"/>
        </w:rPr>
      </w:pPr>
      <w:r>
        <w:drawing>
          <wp:inline distT="0" distB="0" distL="114300" distR="114300">
            <wp:extent cx="4572000" cy="1600835"/>
            <wp:effectExtent l="4445" t="4445" r="14605" b="1397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2"/>
        <w:rPr>
          <w:rFonts w:ascii="仿宋" w:hAnsi="仿宋" w:eastAsia="仿宋"/>
          <w:b/>
          <w:color w:val="auto"/>
          <w:sz w:val="32"/>
          <w:szCs w:val="32"/>
          <w:highlight w:val="none"/>
        </w:rPr>
      </w:pPr>
      <w:bookmarkStart w:id="47" w:name="_Toc15377212"/>
      <w:r>
        <w:rPr>
          <w:rFonts w:hint="eastAsia" w:ascii="仿宋" w:hAnsi="仿宋" w:eastAsia="仿宋"/>
          <w:b/>
          <w:color w:val="auto"/>
          <w:sz w:val="32"/>
          <w:szCs w:val="32"/>
          <w:highlight w:val="none"/>
        </w:rPr>
        <w:t>（三）一般公共预算财政拨款支出决算具体情况</w:t>
      </w:r>
      <w:bookmarkEnd w:id="47"/>
    </w:p>
    <w:p>
      <w:pPr>
        <w:spacing w:line="600" w:lineRule="exact"/>
        <w:ind w:firstLine="640" w:firstLineChars="200"/>
        <w:outlineLvl w:val="2"/>
        <w:rPr>
          <w:rFonts w:ascii="仿宋" w:hAnsi="仿宋" w:eastAsia="仿宋"/>
          <w:color w:val="auto"/>
          <w:sz w:val="32"/>
          <w:szCs w:val="32"/>
          <w:highlight w:val="none"/>
        </w:rPr>
      </w:pPr>
      <w:bookmarkStart w:id="48" w:name="_Toc15377444"/>
      <w:bookmarkStart w:id="49" w:name="_Toc15378460"/>
      <w:bookmarkStart w:id="50"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1985.48</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8"/>
      <w:bookmarkEnd w:id="49"/>
      <w:bookmarkEnd w:id="50"/>
    </w:p>
    <w:p>
      <w:pPr>
        <w:spacing w:line="600" w:lineRule="exact"/>
        <w:ind w:firstLine="640"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组织事务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其他组织事务支出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6.53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0" w:firstLineChars="200"/>
        <w:rPr>
          <w:rStyle w:val="14"/>
          <w:rFonts w:hint="eastAsia" w:ascii="仿宋" w:hAnsi="仿宋" w:eastAsia="仿宋"/>
          <w:b w:val="0"/>
          <w:bCs/>
          <w:color w:val="auto"/>
          <w:sz w:val="32"/>
          <w:szCs w:val="32"/>
          <w:highlight w:val="none"/>
          <w:lang w:eastAsia="zh-CN"/>
        </w:rPr>
      </w:pPr>
      <w:r>
        <w:rPr>
          <w:rStyle w:val="14"/>
          <w:rFonts w:hint="eastAsia" w:ascii="仿宋" w:hAnsi="仿宋" w:eastAsia="仿宋"/>
          <w:bCs/>
          <w:color w:val="auto"/>
          <w:sz w:val="32"/>
          <w:szCs w:val="32"/>
          <w:highlight w:val="none"/>
          <w:lang w:val="en-US" w:eastAsia="zh-CN"/>
        </w:rPr>
        <w:t>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社会保障和就业（类）人力资源和社会保障管理事务（款）其他人力资源和社会保障管理事务支出（项）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社会保障和就业（类）行政事业单位养老支出（款）事业单位离退休（项）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658.27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社会保障和就业（类）行政事业单位养老支出（款）机关事业单位基本养老保险缴费支出（项）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703.66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社会保障和就业（类）抚恤（款）死亡抚恤（项）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73.55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p>
    <w:p>
      <w:pPr>
        <w:spacing w:line="600" w:lineRule="exact"/>
        <w:ind w:firstLine="640"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（类）公立医院（款）综合医院（项）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228.07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公共卫生</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基本公共卫生服务</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公共卫生</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重大公共卫生服务</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其他卫生健康支出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其他卫生健康支出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95.65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p>
    <w:p>
      <w:pPr>
        <w:tabs>
          <w:tab w:val="right" w:pos="8306"/>
        </w:tabs>
        <w:spacing w:line="600" w:lineRule="exact"/>
        <w:ind w:firstLine="640"/>
        <w:outlineLvl w:val="1"/>
        <w:rPr>
          <w:rStyle w:val="25"/>
          <w:color w:val="auto"/>
          <w:highlight w:val="none"/>
        </w:rPr>
      </w:pPr>
      <w:bookmarkStart w:id="51" w:name="_Toc15396608"/>
      <w:bookmarkStart w:id="52" w:name="_Toc15377214"/>
      <w:bookmarkStart w:id="53" w:name="_Toc9039"/>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1"/>
      <w:bookmarkEnd w:id="52"/>
      <w:bookmarkEnd w:id="53"/>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1855.01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1611.09</w:t>
      </w:r>
      <w:r>
        <w:rPr>
          <w:rFonts w:hint="eastAsia" w:ascii="仿宋" w:hAnsi="仿宋" w:eastAsia="仿宋"/>
          <w:color w:val="auto"/>
          <w:sz w:val="32"/>
          <w:szCs w:val="32"/>
          <w:highlight w:val="none"/>
        </w:rPr>
        <w:t>万元，主要包括：机关事业单位基本养老保险缴费、</w:t>
      </w:r>
      <w:r>
        <w:rPr>
          <w:rFonts w:hint="eastAsia" w:ascii="仿宋" w:hAnsi="仿宋" w:eastAsia="仿宋"/>
          <w:color w:val="auto"/>
          <w:sz w:val="32"/>
          <w:szCs w:val="32"/>
          <w:highlight w:val="none"/>
          <w:lang w:eastAsia="zh-CN"/>
        </w:rPr>
        <w:t>抚恤金、生活补助、医疗费补助、</w:t>
      </w:r>
      <w:r>
        <w:rPr>
          <w:rFonts w:hint="eastAsia" w:ascii="仿宋" w:hAnsi="仿宋" w:eastAsia="仿宋"/>
          <w:color w:val="auto"/>
          <w:sz w:val="32"/>
          <w:szCs w:val="32"/>
          <w:highlight w:val="none"/>
        </w:rPr>
        <w:t>其他对个人和家庭的补助支出</w:t>
      </w:r>
      <w:r>
        <w:rPr>
          <w:rFonts w:hint="eastAsia" w:ascii="仿宋" w:hAnsi="仿宋" w:eastAsia="仿宋"/>
          <w:color w:val="auto"/>
          <w:sz w:val="32"/>
          <w:szCs w:val="32"/>
          <w:highlight w:val="none"/>
          <w:lang w:eastAsia="zh-CN"/>
        </w:rPr>
        <w:t>等</w:t>
      </w:r>
      <w:r>
        <w:rPr>
          <w:rFonts w:hint="eastAsia" w:ascii="仿宋" w:hAnsi="仿宋" w:eastAsia="仿宋"/>
          <w:color w:val="auto"/>
          <w:sz w:val="32"/>
          <w:szCs w:val="32"/>
          <w:highlight w:val="none"/>
        </w:rPr>
        <w:t>。</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243.92</w:t>
      </w:r>
      <w:r>
        <w:rPr>
          <w:rFonts w:hint="eastAsia" w:ascii="仿宋" w:hAnsi="仿宋" w:eastAsia="仿宋"/>
          <w:color w:val="auto"/>
          <w:sz w:val="32"/>
          <w:szCs w:val="32"/>
          <w:highlight w:val="none"/>
        </w:rPr>
        <w:t>万元，主要包括：</w:t>
      </w:r>
      <w:r>
        <w:rPr>
          <w:rFonts w:hint="eastAsia" w:ascii="仿宋" w:hAnsi="仿宋" w:eastAsia="仿宋"/>
          <w:color w:val="auto"/>
          <w:sz w:val="32"/>
          <w:szCs w:val="32"/>
          <w:highlight w:val="none"/>
          <w:lang w:eastAsia="zh-CN"/>
        </w:rPr>
        <w:t>专用材料费、福利费、</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eastAsia="zh-CN"/>
        </w:rPr>
        <w:t>等</w:t>
      </w:r>
      <w:r>
        <w:rPr>
          <w:rFonts w:hint="eastAsia" w:ascii="仿宋" w:hAnsi="仿宋" w:eastAsia="仿宋"/>
          <w:color w:val="auto"/>
          <w:sz w:val="32"/>
          <w:szCs w:val="32"/>
          <w:highlight w:val="none"/>
        </w:rPr>
        <w:t>。</w:t>
      </w:r>
    </w:p>
    <w:p>
      <w:pPr>
        <w:spacing w:line="600" w:lineRule="exact"/>
        <w:ind w:firstLine="640"/>
        <w:outlineLvl w:val="1"/>
        <w:rPr>
          <w:rStyle w:val="25"/>
          <w:rFonts w:ascii="黑体" w:hAnsi="黑体" w:eastAsia="黑体"/>
          <w:b w:val="0"/>
          <w:color w:val="auto"/>
          <w:highlight w:val="none"/>
        </w:rPr>
      </w:pPr>
      <w:bookmarkStart w:id="54" w:name="_Toc15377215"/>
      <w:bookmarkStart w:id="55" w:name="_Toc29491"/>
      <w:bookmarkStart w:id="56"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54"/>
      <w:bookmarkEnd w:id="55"/>
      <w:bookmarkEnd w:id="56"/>
    </w:p>
    <w:p>
      <w:pPr>
        <w:spacing w:line="600" w:lineRule="exact"/>
        <w:ind w:firstLine="640"/>
        <w:outlineLvl w:val="2"/>
        <w:rPr>
          <w:rFonts w:ascii="仿宋" w:hAnsi="仿宋" w:eastAsia="仿宋"/>
          <w:b/>
          <w:color w:val="auto"/>
          <w:sz w:val="32"/>
          <w:szCs w:val="32"/>
          <w:highlight w:val="none"/>
        </w:rPr>
      </w:pPr>
      <w:bookmarkStart w:id="57" w:name="_Toc15377216"/>
      <w:r>
        <w:rPr>
          <w:rFonts w:hint="eastAsia" w:ascii="仿宋" w:hAnsi="仿宋" w:eastAsia="仿宋"/>
          <w:b/>
          <w:color w:val="auto"/>
          <w:sz w:val="32"/>
          <w:szCs w:val="32"/>
          <w:highlight w:val="none"/>
        </w:rPr>
        <w:t>（一）“三公”经费财政拨款支出决算总体情况说明</w:t>
      </w:r>
      <w:bookmarkEnd w:id="5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8" w:name="_Toc15377217"/>
      <w:r>
        <w:rPr>
          <w:rFonts w:hint="eastAsia" w:ascii="仿宋" w:hAnsi="仿宋" w:eastAsia="仿宋"/>
          <w:b/>
          <w:color w:val="auto"/>
          <w:sz w:val="32"/>
          <w:szCs w:val="32"/>
          <w:highlight w:val="none"/>
        </w:rPr>
        <w:t>（二）“三公”经费财政拨款支出决算具体情况说明</w:t>
      </w:r>
      <w:bookmarkEnd w:id="5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万元。具体情况如下：</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p>
    <w:p>
      <w:pPr>
        <w:spacing w:line="60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w:t>
      </w:r>
      <w:r>
        <w:rPr>
          <w:rFonts w:hint="eastAsia" w:ascii="仿宋_GB2312" w:eastAsia="仿宋_GB2312"/>
          <w:color w:val="000000" w:themeColor="text1"/>
          <w:sz w:val="32"/>
          <w:szCs w:val="32"/>
          <w:highlight w:val="none"/>
          <w14:textFill>
            <w14:solidFill>
              <w14:schemeClr w14:val="tx1"/>
            </w14:solidFill>
          </w14:textFill>
        </w:rPr>
        <w:t>单位共有公务用车</w:t>
      </w:r>
      <w:r>
        <w:rPr>
          <w:rFonts w:hint="eastAsia" w:ascii="仿宋_GB2312"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14:textFill>
            <w14:solidFill>
              <w14:schemeClr w14:val="tx1"/>
            </w14:solidFill>
          </w14:textFill>
        </w:rPr>
        <w:t>辆，其中：轿车</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辆、越野车</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辆、载客汽车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w:t>
      </w:r>
      <w:r>
        <w:rPr>
          <w:rFonts w:hint="eastAsia" w:ascii="仿宋_GB2312" w:eastAsia="仿宋_GB2312"/>
          <w:color w:val="000000" w:themeColor="text1"/>
          <w:sz w:val="32"/>
          <w:szCs w:val="32"/>
          <w:highlight w:val="none"/>
          <w:lang w:eastAsia="zh-CN"/>
          <w14:textFill>
            <w14:solidFill>
              <w14:schemeClr w14:val="tx1"/>
            </w14:solidFill>
          </w14:textFill>
        </w:rPr>
        <w:t>、其他用车</w:t>
      </w:r>
      <w:r>
        <w:rPr>
          <w:rFonts w:hint="eastAsia" w:ascii="仿宋_GB2312" w:eastAsia="仿宋_GB2312"/>
          <w:color w:val="000000" w:themeColor="text1"/>
          <w:sz w:val="32"/>
          <w:szCs w:val="32"/>
          <w:highlight w:val="none"/>
          <w:lang w:val="en-US" w:eastAsia="zh-CN"/>
          <w14:textFill>
            <w14:solidFill>
              <w14:schemeClr w14:val="tx1"/>
            </w14:solidFill>
          </w14:textFill>
        </w:rPr>
        <w:t>4辆</w:t>
      </w:r>
      <w:r>
        <w:rPr>
          <w:rFonts w:hint="eastAsia" w:ascii="仿宋_GB2312" w:eastAsia="仿宋_GB2312"/>
          <w:color w:val="000000" w:themeColor="text1"/>
          <w:sz w:val="32"/>
          <w:szCs w:val="32"/>
          <w:highlight w:val="none"/>
          <w14:textFill>
            <w14:solidFill>
              <w14:schemeClr w14:val="tx1"/>
            </w14:solidFill>
          </w14:textFill>
        </w:rPr>
        <w:t>。</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万元。国内公务接待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9" w:name="_Toc15377218"/>
      <w:bookmarkStart w:id="60" w:name="_Toc15396610"/>
    </w:p>
    <w:p>
      <w:pPr>
        <w:spacing w:line="600" w:lineRule="exact"/>
        <w:ind w:firstLine="640"/>
        <w:outlineLvl w:val="1"/>
        <w:rPr>
          <w:rStyle w:val="25"/>
          <w:rFonts w:ascii="黑体" w:hAnsi="黑体" w:eastAsia="黑体"/>
          <w:color w:val="auto"/>
          <w:highlight w:val="none"/>
        </w:rPr>
      </w:pPr>
      <w:bookmarkStart w:id="61" w:name="_Toc21741"/>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59"/>
      <w:bookmarkEnd w:id="60"/>
      <w:bookmarkEnd w:id="6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ascii="黑体" w:hAnsi="黑体" w:eastAsia="黑体"/>
          <w:b w:val="0"/>
          <w:color w:val="auto"/>
          <w:highlight w:val="none"/>
        </w:rPr>
      </w:pPr>
      <w:bookmarkStart w:id="62" w:name="_Toc15396611"/>
      <w:bookmarkStart w:id="63" w:name="_Toc15377219"/>
      <w:bookmarkStart w:id="64" w:name="_Toc2627"/>
      <w:r>
        <w:rPr>
          <w:rStyle w:val="25"/>
          <w:rFonts w:hint="eastAsia" w:ascii="黑体" w:hAnsi="黑体" w:eastAsia="黑体"/>
          <w:b w:val="0"/>
          <w:color w:val="auto"/>
          <w:highlight w:val="none"/>
        </w:rPr>
        <w:t>国有资本经营预算支出决算情况说明</w:t>
      </w:r>
      <w:bookmarkEnd w:id="62"/>
      <w:bookmarkEnd w:id="63"/>
      <w:bookmarkEnd w:id="64"/>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5" w:name="_Toc11939"/>
      <w:bookmarkStart w:id="66" w:name="_Toc15396612"/>
      <w:bookmarkStart w:id="67" w:name="_Toc15377221"/>
      <w:r>
        <w:rPr>
          <w:rStyle w:val="25"/>
          <w:rFonts w:hint="eastAsia" w:ascii="黑体" w:hAnsi="黑体" w:eastAsia="黑体"/>
          <w:b w:val="0"/>
          <w:color w:val="auto"/>
          <w:highlight w:val="none"/>
        </w:rPr>
        <w:t>其他重要事项的情况说明</w:t>
      </w:r>
      <w:bookmarkEnd w:id="65"/>
      <w:bookmarkEnd w:id="66"/>
      <w:bookmarkEnd w:id="67"/>
    </w:p>
    <w:p>
      <w:pPr>
        <w:spacing w:line="600" w:lineRule="exact"/>
        <w:ind w:firstLine="640" w:firstLineChars="200"/>
        <w:outlineLvl w:val="2"/>
        <w:rPr>
          <w:rFonts w:ascii="仿宋" w:hAnsi="仿宋" w:eastAsia="仿宋"/>
          <w:color w:val="auto"/>
          <w:sz w:val="32"/>
          <w:szCs w:val="32"/>
          <w:highlight w:val="none"/>
        </w:rPr>
      </w:pPr>
      <w:bookmarkStart w:id="68" w:name="_Toc15377222"/>
      <w:r>
        <w:rPr>
          <w:rFonts w:hint="eastAsia" w:ascii="仿宋" w:hAnsi="仿宋" w:eastAsia="仿宋"/>
          <w:b/>
          <w:color w:val="auto"/>
          <w:sz w:val="32"/>
          <w:szCs w:val="32"/>
          <w:highlight w:val="none"/>
        </w:rPr>
        <w:t>（一）机关运行经费支出情况</w:t>
      </w:r>
      <w:bookmarkEnd w:id="68"/>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攀枝花市第二人民医院</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0" w:firstLineChars="200"/>
        <w:jc w:val="left"/>
        <w:outlineLvl w:val="2"/>
        <w:rPr>
          <w:rFonts w:ascii="仿宋" w:hAnsi="仿宋" w:eastAsia="仿宋"/>
          <w:b/>
          <w:color w:val="auto"/>
          <w:sz w:val="32"/>
          <w:szCs w:val="32"/>
          <w:highlight w:val="none"/>
        </w:rPr>
      </w:pPr>
      <w:bookmarkStart w:id="69" w:name="_Toc15377223"/>
      <w:r>
        <w:rPr>
          <w:rFonts w:hint="eastAsia" w:ascii="仿宋" w:hAnsi="仿宋" w:eastAsia="仿宋"/>
          <w:b/>
          <w:color w:val="auto"/>
          <w:sz w:val="32"/>
          <w:szCs w:val="32"/>
          <w:highlight w:val="none"/>
        </w:rPr>
        <w:t>（二）政府采购支出情况</w:t>
      </w:r>
      <w:bookmarkEnd w:id="69"/>
    </w:p>
    <w:p>
      <w:pPr>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攀枝花市第二人民医院</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103.22</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103.22</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lang w:eastAsia="zh-CN"/>
        </w:rPr>
        <w:t>医疗设备和办公设备购置</w:t>
      </w:r>
      <w:r>
        <w:rPr>
          <w:rFonts w:hint="eastAsia" w:ascii="仿宋_GB2312" w:eastAsia="仿宋_GB2312"/>
          <w:color w:val="auto"/>
          <w:sz w:val="32"/>
          <w:szCs w:val="32"/>
          <w:highlight w:val="none"/>
        </w:rPr>
        <w:t>。</w:t>
      </w:r>
      <w:bookmarkStart w:id="111" w:name="_GoBack"/>
      <w:r>
        <w:rPr>
          <w:rFonts w:hint="eastAsia" w:ascii="仿宋_GB2312" w:eastAsia="仿宋_GB2312"/>
          <w:color w:val="000000" w:themeColor="text1"/>
          <w:sz w:val="32"/>
          <w:szCs w:val="32"/>
          <w:highlight w:val="none"/>
          <w14:textFill>
            <w14:solidFill>
              <w14:schemeClr w14:val="tx1"/>
            </w14:solidFill>
          </w14:textFill>
        </w:rPr>
        <w:t>授予中小企业合同金额</w:t>
      </w:r>
      <w:r>
        <w:rPr>
          <w:rFonts w:hint="eastAsia" w:ascii="仿宋_GB2312" w:eastAsia="仿宋_GB2312"/>
          <w:color w:val="000000" w:themeColor="text1"/>
          <w:sz w:val="32"/>
          <w:szCs w:val="32"/>
          <w:highlight w:val="none"/>
          <w:lang w:val="en-US" w:eastAsia="zh-CN"/>
          <w14:textFill>
            <w14:solidFill>
              <w14:schemeClr w14:val="tx1"/>
            </w14:solidFill>
          </w14:textFill>
        </w:rPr>
        <w:t>1060.50</w:t>
      </w:r>
      <w:r>
        <w:rPr>
          <w:rFonts w:hint="eastAsia" w:ascii="仿宋_GB2312" w:eastAsia="仿宋_GB2312"/>
          <w:color w:val="000000" w:themeColor="text1"/>
          <w:sz w:val="32"/>
          <w:szCs w:val="32"/>
          <w:highlight w:val="none"/>
          <w14:textFill>
            <w14:solidFill>
              <w14:schemeClr w14:val="tx1"/>
            </w14:solidFill>
          </w14:textFill>
        </w:rPr>
        <w:t>万元，占政府采购支出总额的</w:t>
      </w:r>
      <w:r>
        <w:rPr>
          <w:rFonts w:hint="eastAsia" w:ascii="仿宋_GB2312" w:eastAsia="仿宋_GB2312"/>
          <w:color w:val="000000" w:themeColor="text1"/>
          <w:sz w:val="32"/>
          <w:szCs w:val="32"/>
          <w:highlight w:val="none"/>
          <w:lang w:val="en-US" w:eastAsia="zh-CN"/>
          <w14:textFill>
            <w14:solidFill>
              <w14:schemeClr w14:val="tx1"/>
            </w14:solidFill>
          </w14:textFill>
        </w:rPr>
        <w:t>100</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，其中：授予小微企业合同金额</w:t>
      </w:r>
      <w:r>
        <w:rPr>
          <w:rFonts w:hint="eastAsia" w:ascii="仿宋_GB2312" w:eastAsia="仿宋_GB2312"/>
          <w:color w:val="000000" w:themeColor="text1"/>
          <w:sz w:val="32"/>
          <w:szCs w:val="32"/>
          <w:highlight w:val="none"/>
          <w:lang w:val="en-US" w:eastAsia="zh-CN"/>
          <w14:textFill>
            <w14:solidFill>
              <w14:schemeClr w14:val="tx1"/>
            </w14:solidFill>
          </w14:textFill>
        </w:rPr>
        <w:t>35.10</w:t>
      </w:r>
      <w:r>
        <w:rPr>
          <w:rFonts w:hint="eastAsia" w:ascii="仿宋_GB2312" w:eastAsia="仿宋_GB2312"/>
          <w:color w:val="000000" w:themeColor="text1"/>
          <w:sz w:val="32"/>
          <w:szCs w:val="32"/>
          <w:highlight w:val="none"/>
          <w14:textFill>
            <w14:solidFill>
              <w14:schemeClr w14:val="tx1"/>
            </w14:solidFill>
          </w14:textFill>
        </w:rPr>
        <w:t>万元，占政府采购支出总额的</w:t>
      </w:r>
      <w:r>
        <w:rPr>
          <w:rFonts w:hint="eastAsia" w:ascii="仿宋_GB2312" w:eastAsia="仿宋_GB2312"/>
          <w:color w:val="000000" w:themeColor="text1"/>
          <w:sz w:val="32"/>
          <w:szCs w:val="32"/>
          <w:highlight w:val="none"/>
          <w:lang w:val="en-US" w:eastAsia="zh-CN"/>
          <w14:textFill>
            <w14:solidFill>
              <w14:schemeClr w14:val="tx1"/>
            </w14:solidFill>
          </w14:textFill>
        </w:rPr>
        <w:t>34</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w:t>
      </w:r>
    </w:p>
    <w:bookmarkEnd w:id="111"/>
    <w:p>
      <w:pPr>
        <w:autoSpaceDE w:val="0"/>
        <w:autoSpaceDN w:val="0"/>
        <w:adjustRightInd w:val="0"/>
        <w:spacing w:line="600" w:lineRule="exact"/>
        <w:ind w:firstLine="640" w:firstLineChars="200"/>
        <w:jc w:val="left"/>
        <w:outlineLvl w:val="2"/>
        <w:rPr>
          <w:rFonts w:ascii="仿宋" w:hAnsi="仿宋" w:eastAsia="仿宋"/>
          <w:b/>
          <w:color w:val="auto"/>
          <w:sz w:val="32"/>
          <w:szCs w:val="32"/>
          <w:highlight w:val="none"/>
        </w:rPr>
      </w:pPr>
      <w:bookmarkStart w:id="70" w:name="_Toc15377224"/>
      <w:r>
        <w:rPr>
          <w:rFonts w:hint="eastAsia" w:ascii="仿宋" w:hAnsi="仿宋" w:eastAsia="仿宋"/>
          <w:b/>
          <w:color w:val="auto"/>
          <w:sz w:val="32"/>
          <w:szCs w:val="32"/>
          <w:highlight w:val="none"/>
        </w:rPr>
        <w:t>（三）国有资产占有使用情况</w:t>
      </w:r>
      <w:bookmarkEnd w:id="70"/>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攀枝花市第二人民医院</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lang w:eastAsia="zh-CN"/>
        </w:rPr>
        <w:t>医疗救护及公务使用。</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台（套）。</w:t>
      </w:r>
    </w:p>
    <w:p>
      <w:pPr>
        <w:autoSpaceDE w:val="0"/>
        <w:autoSpaceDN w:val="0"/>
        <w:adjustRightInd w:val="0"/>
        <w:spacing w:line="600" w:lineRule="exact"/>
        <w:ind w:firstLine="640"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公立医院综合改革</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4个项目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71" w:name="_Toc15377225"/>
      <w:bookmarkStart w:id="72" w:name="_Toc15396613"/>
      <w:bookmarkStart w:id="73" w:name="_Toc13706"/>
      <w:bookmarkStart w:id="74" w:name="_Toc14472"/>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1"/>
      <w:bookmarkEnd w:id="72"/>
      <w:bookmarkEnd w:id="73"/>
      <w:bookmarkEnd w:id="74"/>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医疗收入</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利息收入、康养收入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2"/>
        <w:spacing w:line="560" w:lineRule="exact"/>
        <w:ind w:firstLine="640" w:firstLineChars="200"/>
        <w:rPr>
          <w:rFonts w:ascii="仿宋_GB2312" w:hAnsi="Calibri" w:eastAsia="仿宋_GB2312"/>
          <w:b w:val="0"/>
          <w:color w:val="auto"/>
          <w:sz w:val="32"/>
          <w:szCs w:val="32"/>
          <w:highlight w:val="none"/>
        </w:rPr>
      </w:pPr>
      <w:r>
        <w:rPr>
          <w:rFonts w:hint="eastAsia" w:ascii="仿宋_GB2312" w:eastAsia="仿宋_GB2312"/>
          <w:bCs w:val="0"/>
          <w:color w:val="auto"/>
          <w:sz w:val="32"/>
          <w:szCs w:val="32"/>
          <w:highlight w:val="none"/>
          <w:lang w:eastAsia="zh-CN"/>
        </w:rPr>
        <w:t>8</w:t>
      </w:r>
      <w:r>
        <w:rPr>
          <w:rStyle w:val="13"/>
          <w:rFonts w:ascii="仿宋_GB2312" w:hAnsi="Calibri" w:eastAsia="仿宋_GB2312"/>
          <w:bCs w:val="0"/>
          <w:color w:val="auto"/>
          <w:sz w:val="32"/>
          <w:szCs w:val="32"/>
          <w:highlight w:val="none"/>
        </w:rPr>
        <w:t>.</w:t>
      </w:r>
      <w:r>
        <w:rPr>
          <w:rStyle w:val="13"/>
          <w:rFonts w:hint="default" w:ascii="仿宋_GB2312" w:hAnsi="Calibri" w:eastAsia="仿宋_GB2312"/>
          <w:bCs w:val="0"/>
          <w:color w:val="auto"/>
          <w:sz w:val="32"/>
          <w:szCs w:val="32"/>
          <w:highlight w:val="none"/>
        </w:rPr>
        <w:t>一般公共服务（类）</w:t>
      </w:r>
      <w:r>
        <w:rPr>
          <w:rStyle w:val="13"/>
          <w:rFonts w:hint="default" w:ascii="仿宋_GB2312" w:hAnsi="Calibri" w:eastAsia="仿宋_GB2312"/>
          <w:bCs w:val="0"/>
          <w:color w:val="auto"/>
          <w:sz w:val="32"/>
          <w:szCs w:val="32"/>
          <w:highlight w:val="none"/>
          <w:lang w:eastAsia="zh-CN"/>
        </w:rPr>
        <w:t>组织事务</w:t>
      </w:r>
      <w:r>
        <w:rPr>
          <w:rStyle w:val="13"/>
          <w:rFonts w:hint="default" w:ascii="仿宋_GB2312" w:hAnsi="Calibri" w:eastAsia="仿宋_GB2312"/>
          <w:bCs w:val="0"/>
          <w:color w:val="auto"/>
          <w:sz w:val="32"/>
          <w:szCs w:val="32"/>
          <w:highlight w:val="none"/>
        </w:rPr>
        <w:t>（款）</w:t>
      </w:r>
      <w:r>
        <w:rPr>
          <w:rStyle w:val="13"/>
          <w:rFonts w:hint="default" w:ascii="仿宋_GB2312" w:hAnsi="Calibri" w:eastAsia="仿宋_GB2312"/>
          <w:bCs w:val="0"/>
          <w:color w:val="auto"/>
          <w:sz w:val="32"/>
          <w:szCs w:val="32"/>
          <w:highlight w:val="none"/>
          <w:lang w:eastAsia="zh-CN"/>
        </w:rPr>
        <w:t>其他组织事务支出</w:t>
      </w:r>
      <w:r>
        <w:rPr>
          <w:rStyle w:val="13"/>
          <w:rFonts w:hint="default" w:ascii="仿宋_GB2312" w:hAnsi="Calibri" w:eastAsia="仿宋_GB2312"/>
          <w:bCs w:val="0"/>
          <w:color w:val="auto"/>
          <w:sz w:val="32"/>
          <w:szCs w:val="32"/>
          <w:highlight w:val="none"/>
        </w:rPr>
        <w:t>（项）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指其他用于中国共产党组织部门的事务支出。</w:t>
      </w:r>
      <w:r>
        <w:rPr>
          <w:rStyle w:val="13"/>
          <w:rFonts w:ascii="仿宋_GB2312" w:hAnsi="Calibri" w:eastAsia="仿宋_GB2312"/>
          <w:b w:val="0"/>
          <w:bCs w:val="0"/>
          <w:color w:val="auto"/>
          <w:sz w:val="32"/>
          <w:szCs w:val="32"/>
          <w:highlight w:val="none"/>
        </w:rPr>
        <w:t xml:space="preserve"> </w:t>
      </w:r>
    </w:p>
    <w:p>
      <w:pPr>
        <w:pStyle w:val="22"/>
        <w:spacing w:line="560" w:lineRule="exact"/>
        <w:ind w:firstLine="640" w:firstLineChars="200"/>
        <w:rPr>
          <w:rStyle w:val="13"/>
          <w:rFonts w:ascii="仿宋_GB2312" w:hAnsi="Calibri" w:eastAsia="仿宋_GB2312"/>
          <w:b w:val="0"/>
          <w:bCs w:val="0"/>
          <w:color w:val="auto"/>
          <w:sz w:val="32"/>
          <w:szCs w:val="32"/>
          <w:highlight w:val="none"/>
        </w:rPr>
      </w:pPr>
      <w:r>
        <w:rPr>
          <w:rFonts w:hint="eastAsia" w:ascii="仿宋_GB2312" w:eastAsia="仿宋_GB2312"/>
          <w:bCs w:val="0"/>
          <w:color w:val="auto"/>
          <w:sz w:val="32"/>
          <w:szCs w:val="32"/>
          <w:highlight w:val="none"/>
          <w:lang w:val="en-US" w:eastAsia="zh-CN"/>
        </w:rPr>
        <w:t>9</w:t>
      </w:r>
      <w:r>
        <w:rPr>
          <w:rStyle w:val="13"/>
          <w:rFonts w:ascii="仿宋_GB2312" w:hAnsi="Calibri" w:eastAsia="仿宋_GB2312"/>
          <w:bCs w:val="0"/>
          <w:color w:val="auto"/>
          <w:sz w:val="32"/>
          <w:szCs w:val="32"/>
          <w:highlight w:val="none"/>
        </w:rPr>
        <w:t>.</w:t>
      </w:r>
      <w:r>
        <w:rPr>
          <w:rStyle w:val="13"/>
          <w:rFonts w:hint="default" w:ascii="仿宋_GB2312" w:hAnsi="Calibri" w:eastAsia="仿宋_GB2312"/>
          <w:bCs w:val="0"/>
          <w:color w:val="auto"/>
          <w:sz w:val="32"/>
          <w:szCs w:val="32"/>
          <w:highlight w:val="none"/>
        </w:rPr>
        <w:t>社会保障和就业（类）人力资源和社会保障管理事务（款）其他人力资源和社会保障管理事务支出（项）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指其他用于人力资源和社会保障管理事务方面的支出。</w:t>
      </w:r>
      <w:r>
        <w:rPr>
          <w:rStyle w:val="13"/>
          <w:rFonts w:ascii="仿宋_GB2312" w:hAnsi="Calibri" w:eastAsia="仿宋_GB2312"/>
          <w:b w:val="0"/>
          <w:bCs w:val="0"/>
          <w:color w:val="auto"/>
          <w:sz w:val="32"/>
          <w:szCs w:val="32"/>
          <w:highlight w:val="none"/>
        </w:rPr>
        <w:t xml:space="preserve"> </w:t>
      </w:r>
    </w:p>
    <w:p>
      <w:pPr>
        <w:pStyle w:val="22"/>
        <w:spacing w:line="560" w:lineRule="exact"/>
        <w:ind w:firstLine="640" w:firstLineChars="200"/>
        <w:rPr>
          <w:rFonts w:hint="eastAsia" w:ascii="仿宋_GB2312" w:eastAsia="仿宋_GB2312"/>
          <w:b w:val="0"/>
          <w:bCs w:val="0"/>
          <w:color w:val="auto"/>
          <w:sz w:val="32"/>
          <w:szCs w:val="32"/>
          <w:highlight w:val="none"/>
          <w:lang w:eastAsia="zh-CN"/>
        </w:rPr>
      </w:pPr>
      <w:r>
        <w:rPr>
          <w:rFonts w:hint="eastAsia" w:ascii="仿宋_GB2312" w:eastAsia="仿宋_GB2312"/>
          <w:bCs w:val="0"/>
          <w:color w:val="auto"/>
          <w:sz w:val="32"/>
          <w:szCs w:val="32"/>
          <w:highlight w:val="none"/>
          <w:lang w:val="en-US" w:eastAsia="zh-CN"/>
        </w:rPr>
        <w:t>10.</w:t>
      </w:r>
      <w:r>
        <w:rPr>
          <w:rStyle w:val="13"/>
          <w:rFonts w:hint="default" w:ascii="仿宋_GB2312" w:hAnsi="Calibri" w:eastAsia="仿宋_GB2312"/>
          <w:bCs w:val="0"/>
          <w:color w:val="auto"/>
          <w:sz w:val="32"/>
          <w:szCs w:val="32"/>
          <w:highlight w:val="none"/>
        </w:rPr>
        <w:t>社会保障和就业（类）行政事业单位养老支出（款）事业单位离退休（项）</w:t>
      </w:r>
      <w:r>
        <w:rPr>
          <w:rStyle w:val="13"/>
          <w:rFonts w:ascii="仿宋_GB2312" w:hAnsi="Calibri" w:eastAsia="仿宋_GB2312"/>
          <w:bCs w:val="0"/>
          <w:color w:val="auto"/>
          <w:sz w:val="32"/>
          <w:szCs w:val="32"/>
          <w:highlight w:val="none"/>
        </w:rPr>
        <w:t>:</w:t>
      </w:r>
      <w:r>
        <w:rPr>
          <w:rStyle w:val="13"/>
          <w:rFonts w:ascii="仿宋_GB2312" w:hAnsi="Calibri" w:eastAsia="仿宋_GB2312"/>
          <w:b w:val="0"/>
          <w:bCs w:val="0"/>
          <w:color w:val="auto"/>
          <w:sz w:val="32"/>
          <w:szCs w:val="32"/>
          <w:highlight w:val="none"/>
        </w:rPr>
        <w:t xml:space="preserve"> </w:t>
      </w:r>
      <w:r>
        <w:rPr>
          <w:rFonts w:hint="eastAsia" w:ascii="仿宋_GB2312" w:eastAsia="仿宋_GB2312"/>
          <w:b w:val="0"/>
          <w:bCs w:val="0"/>
          <w:color w:val="auto"/>
          <w:sz w:val="32"/>
          <w:szCs w:val="32"/>
          <w:highlight w:val="none"/>
          <w:lang w:eastAsia="zh-CN"/>
        </w:rPr>
        <w:t>指实行归口管理的事业单位开支的离退休经费。</w:t>
      </w:r>
    </w:p>
    <w:p>
      <w:pPr>
        <w:pStyle w:val="22"/>
        <w:spacing w:line="560" w:lineRule="exact"/>
        <w:ind w:firstLine="640" w:firstLineChars="200"/>
        <w:rPr>
          <w:rStyle w:val="13"/>
          <w:rFonts w:hint="default" w:ascii="仿宋_GB2312" w:hAnsi="Calibri" w:eastAsia="仿宋_GB2312"/>
          <w:b w:val="0"/>
          <w:bCs w:val="0"/>
          <w:color w:val="auto"/>
          <w:sz w:val="32"/>
          <w:szCs w:val="32"/>
          <w:highlight w:val="none"/>
          <w:lang w:eastAsia="zh-CN"/>
        </w:rPr>
      </w:pPr>
      <w:r>
        <w:rPr>
          <w:rFonts w:hint="eastAsia" w:ascii="仿宋_GB2312" w:eastAsia="仿宋_GB2312"/>
          <w:bCs w:val="0"/>
          <w:color w:val="auto"/>
          <w:sz w:val="32"/>
          <w:szCs w:val="32"/>
          <w:highlight w:val="none"/>
          <w:lang w:val="en-US" w:eastAsia="zh-CN"/>
        </w:rPr>
        <w:t>11.</w:t>
      </w:r>
      <w:r>
        <w:rPr>
          <w:rStyle w:val="13"/>
          <w:rFonts w:hint="default" w:ascii="仿宋_GB2312" w:hAnsi="Calibri" w:eastAsia="仿宋_GB2312"/>
          <w:bCs w:val="0"/>
          <w:color w:val="auto"/>
          <w:sz w:val="32"/>
          <w:szCs w:val="32"/>
          <w:highlight w:val="none"/>
        </w:rPr>
        <w:t>社会保障和就业（类）行政事业单位养老支出（款）机关事业单位基本养老保险缴费支出（项）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指机关事业单位实施养老保险制度由单位缴纳的基本养老保险费支出。</w:t>
      </w:r>
      <w:r>
        <w:rPr>
          <w:rStyle w:val="13"/>
          <w:rFonts w:ascii="仿宋_GB2312" w:hAnsi="Calibri" w:eastAsia="仿宋_GB2312"/>
          <w:b w:val="0"/>
          <w:bCs w:val="0"/>
          <w:color w:val="auto"/>
          <w:sz w:val="32"/>
          <w:szCs w:val="32"/>
          <w:highlight w:val="none"/>
        </w:rPr>
        <w:t xml:space="preserve"> </w:t>
      </w:r>
    </w:p>
    <w:p>
      <w:pPr>
        <w:pStyle w:val="22"/>
        <w:spacing w:line="560" w:lineRule="exact"/>
        <w:ind w:firstLine="640" w:firstLineChars="200"/>
        <w:rPr>
          <w:rFonts w:hint="eastAsia" w:ascii="仿宋_GB2312" w:eastAsia="仿宋_GB2312"/>
          <w:bCs w:val="0"/>
          <w:color w:val="auto"/>
          <w:sz w:val="32"/>
          <w:szCs w:val="32"/>
          <w:highlight w:val="none"/>
          <w:lang w:eastAsia="zh-CN"/>
        </w:rPr>
      </w:pPr>
      <w:r>
        <w:rPr>
          <w:rFonts w:hint="eastAsia" w:ascii="仿宋_GB2312" w:eastAsia="仿宋_GB2312"/>
          <w:bCs w:val="0"/>
          <w:color w:val="auto"/>
          <w:sz w:val="32"/>
          <w:szCs w:val="32"/>
          <w:highlight w:val="none"/>
          <w:lang w:val="en-US" w:eastAsia="zh-CN"/>
        </w:rPr>
        <w:t>12.</w:t>
      </w:r>
      <w:r>
        <w:rPr>
          <w:rStyle w:val="13"/>
          <w:rFonts w:hint="default" w:ascii="仿宋_GB2312" w:hAnsi="Calibri" w:eastAsia="仿宋_GB2312"/>
          <w:bCs w:val="0"/>
          <w:color w:val="auto"/>
          <w:sz w:val="32"/>
          <w:szCs w:val="32"/>
          <w:highlight w:val="none"/>
        </w:rPr>
        <w:t>社会保障和就业（类）抚恤（款）死亡抚恤（项）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指按规定用于烈士和牺牲、病故人员家属的一次性和定期抚恤金以及丧葬补助费。</w:t>
      </w:r>
    </w:p>
    <w:p>
      <w:pPr>
        <w:pStyle w:val="22"/>
        <w:spacing w:line="560" w:lineRule="exact"/>
        <w:ind w:firstLine="640" w:firstLineChars="200"/>
        <w:rPr>
          <w:rStyle w:val="13"/>
          <w:rFonts w:hint="eastAsia" w:ascii="仿宋_GB2312" w:hAnsi="Calibri"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13.</w:t>
      </w:r>
      <w:r>
        <w:rPr>
          <w:rFonts w:hint="default" w:ascii="仿宋_GB2312" w:hAnsi="Calibri" w:eastAsia="仿宋_GB2312"/>
          <w:b w:val="0"/>
          <w:bCs w:val="0"/>
          <w:color w:val="auto"/>
          <w:sz w:val="32"/>
          <w:szCs w:val="32"/>
          <w:highlight w:val="none"/>
        </w:rPr>
        <w:t>卫生健康</w:t>
      </w:r>
      <w:r>
        <w:rPr>
          <w:rStyle w:val="13"/>
          <w:rFonts w:hint="default" w:ascii="仿宋_GB2312" w:hAnsi="Calibri" w:eastAsia="仿宋_GB2312"/>
          <w:bCs w:val="0"/>
          <w:color w:val="auto"/>
          <w:sz w:val="32"/>
          <w:szCs w:val="32"/>
          <w:highlight w:val="none"/>
        </w:rPr>
        <w:t>（类）公立医院（款）综合医院（项）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指卫生健康、中医部门所属的城市综合性医院、独立门诊、教学医院、疗养院和县医院的支出。</w:t>
      </w:r>
    </w:p>
    <w:p>
      <w:pPr>
        <w:pStyle w:val="22"/>
        <w:spacing w:line="560" w:lineRule="exact"/>
        <w:ind w:firstLine="640" w:firstLineChars="200"/>
        <w:rPr>
          <w:rFonts w:hint="eastAsia" w:ascii="仿宋_GB2312" w:hAnsi="Calibri" w:eastAsia="仿宋_GB2312"/>
          <w:b w:val="0"/>
          <w:color w:val="auto"/>
          <w:sz w:val="32"/>
          <w:szCs w:val="32"/>
          <w:highlight w:val="none"/>
        </w:rPr>
      </w:pPr>
      <w:r>
        <w:rPr>
          <w:rFonts w:hint="eastAsia" w:ascii="仿宋_GB2312" w:eastAsia="仿宋_GB2312"/>
          <w:b w:val="0"/>
          <w:bCs w:val="0"/>
          <w:color w:val="auto"/>
          <w:sz w:val="32"/>
          <w:szCs w:val="32"/>
          <w:highlight w:val="none"/>
          <w:lang w:val="en-US" w:eastAsia="zh-CN"/>
        </w:rPr>
        <w:t>14.</w:t>
      </w:r>
      <w:r>
        <w:rPr>
          <w:rFonts w:hint="default" w:ascii="仿宋_GB2312" w:hAnsi="Calibri" w:eastAsia="仿宋_GB2312"/>
          <w:b w:val="0"/>
          <w:bCs w:val="0"/>
          <w:color w:val="auto"/>
          <w:sz w:val="32"/>
          <w:szCs w:val="32"/>
          <w:highlight w:val="none"/>
        </w:rPr>
        <w:t>卫生健康</w:t>
      </w:r>
      <w:r>
        <w:rPr>
          <w:rStyle w:val="13"/>
          <w:rFonts w:hint="default" w:ascii="仿宋_GB2312" w:hAnsi="Calibri" w:eastAsia="仿宋_GB2312"/>
          <w:bCs w:val="0"/>
          <w:color w:val="auto"/>
          <w:sz w:val="32"/>
          <w:szCs w:val="32"/>
          <w:highlight w:val="none"/>
        </w:rPr>
        <w:t>（类）</w:t>
      </w:r>
      <w:r>
        <w:rPr>
          <w:rStyle w:val="13"/>
          <w:rFonts w:hint="default" w:ascii="仿宋_GB2312" w:hAnsi="Calibri" w:eastAsia="仿宋_GB2312"/>
          <w:bCs w:val="0"/>
          <w:color w:val="auto"/>
          <w:sz w:val="32"/>
          <w:szCs w:val="32"/>
          <w:highlight w:val="none"/>
          <w:lang w:eastAsia="zh-CN"/>
        </w:rPr>
        <w:t>公共卫生</w:t>
      </w:r>
      <w:r>
        <w:rPr>
          <w:rStyle w:val="13"/>
          <w:rFonts w:hint="default" w:ascii="仿宋_GB2312" w:hAnsi="Calibri" w:eastAsia="仿宋_GB2312"/>
          <w:bCs w:val="0"/>
          <w:color w:val="auto"/>
          <w:sz w:val="32"/>
          <w:szCs w:val="32"/>
          <w:highlight w:val="none"/>
        </w:rPr>
        <w:t>（款）</w:t>
      </w:r>
      <w:r>
        <w:rPr>
          <w:rStyle w:val="13"/>
          <w:rFonts w:hint="default" w:ascii="仿宋_GB2312" w:hAnsi="Calibri" w:eastAsia="仿宋_GB2312"/>
          <w:bCs w:val="0"/>
          <w:color w:val="auto"/>
          <w:sz w:val="32"/>
          <w:szCs w:val="32"/>
          <w:highlight w:val="none"/>
          <w:lang w:eastAsia="zh-CN"/>
        </w:rPr>
        <w:t>基本公共卫生服务</w:t>
      </w:r>
      <w:r>
        <w:rPr>
          <w:rStyle w:val="13"/>
          <w:rFonts w:hint="default" w:ascii="仿宋_GB2312" w:hAnsi="Calibri" w:eastAsia="仿宋_GB2312"/>
          <w:bCs w:val="0"/>
          <w:color w:val="auto"/>
          <w:sz w:val="32"/>
          <w:szCs w:val="32"/>
          <w:highlight w:val="none"/>
        </w:rPr>
        <w:t>（项）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指基本公共卫生服务支出。</w:t>
      </w:r>
    </w:p>
    <w:p>
      <w:pPr>
        <w:pStyle w:val="22"/>
        <w:spacing w:line="560" w:lineRule="exact"/>
        <w:ind w:firstLine="640" w:firstLineChars="200"/>
        <w:rPr>
          <w:rFonts w:hint="eastAsia" w:ascii="仿宋_GB2312" w:hAnsi="Calibri" w:eastAsia="仿宋_GB2312"/>
          <w:b w:val="0"/>
          <w:color w:val="auto"/>
          <w:sz w:val="32"/>
          <w:szCs w:val="32"/>
          <w:highlight w:val="none"/>
        </w:rPr>
      </w:pPr>
      <w:r>
        <w:rPr>
          <w:rFonts w:hint="eastAsia" w:ascii="仿宋_GB2312" w:eastAsia="仿宋_GB2312"/>
          <w:b w:val="0"/>
          <w:bCs w:val="0"/>
          <w:color w:val="auto"/>
          <w:sz w:val="32"/>
          <w:szCs w:val="32"/>
          <w:highlight w:val="none"/>
          <w:lang w:val="en-US" w:eastAsia="zh-CN"/>
        </w:rPr>
        <w:t>15.</w:t>
      </w:r>
      <w:r>
        <w:rPr>
          <w:rFonts w:hint="default" w:ascii="仿宋_GB2312" w:hAnsi="Calibri" w:eastAsia="仿宋_GB2312"/>
          <w:b w:val="0"/>
          <w:bCs w:val="0"/>
          <w:color w:val="auto"/>
          <w:sz w:val="32"/>
          <w:szCs w:val="32"/>
          <w:highlight w:val="none"/>
        </w:rPr>
        <w:t>卫生健康</w:t>
      </w:r>
      <w:r>
        <w:rPr>
          <w:rStyle w:val="13"/>
          <w:rFonts w:hint="default" w:ascii="仿宋_GB2312" w:hAnsi="Calibri" w:eastAsia="仿宋_GB2312"/>
          <w:bCs w:val="0"/>
          <w:color w:val="auto"/>
          <w:sz w:val="32"/>
          <w:szCs w:val="32"/>
          <w:highlight w:val="none"/>
        </w:rPr>
        <w:t>（类）</w:t>
      </w:r>
      <w:r>
        <w:rPr>
          <w:rStyle w:val="13"/>
          <w:rFonts w:hint="default" w:ascii="仿宋_GB2312" w:hAnsi="Calibri" w:eastAsia="仿宋_GB2312"/>
          <w:bCs w:val="0"/>
          <w:color w:val="auto"/>
          <w:sz w:val="32"/>
          <w:szCs w:val="32"/>
          <w:highlight w:val="none"/>
          <w:lang w:eastAsia="zh-CN"/>
        </w:rPr>
        <w:t>公共卫生</w:t>
      </w:r>
      <w:r>
        <w:rPr>
          <w:rStyle w:val="13"/>
          <w:rFonts w:hint="default" w:ascii="仿宋_GB2312" w:hAnsi="Calibri" w:eastAsia="仿宋_GB2312"/>
          <w:bCs w:val="0"/>
          <w:color w:val="auto"/>
          <w:sz w:val="32"/>
          <w:szCs w:val="32"/>
          <w:highlight w:val="none"/>
        </w:rPr>
        <w:t>（款）</w:t>
      </w:r>
      <w:r>
        <w:rPr>
          <w:rStyle w:val="13"/>
          <w:rFonts w:hint="default" w:ascii="仿宋_GB2312" w:hAnsi="Calibri" w:eastAsia="仿宋_GB2312"/>
          <w:bCs w:val="0"/>
          <w:color w:val="auto"/>
          <w:sz w:val="32"/>
          <w:szCs w:val="32"/>
          <w:highlight w:val="none"/>
          <w:lang w:eastAsia="zh-CN"/>
        </w:rPr>
        <w:t>重大公共卫生服务</w:t>
      </w:r>
      <w:r>
        <w:rPr>
          <w:rStyle w:val="13"/>
          <w:rFonts w:hint="default" w:ascii="仿宋_GB2312" w:hAnsi="Calibri" w:eastAsia="仿宋_GB2312"/>
          <w:bCs w:val="0"/>
          <w:color w:val="auto"/>
          <w:sz w:val="32"/>
          <w:szCs w:val="32"/>
          <w:highlight w:val="none"/>
        </w:rPr>
        <w:t>（项）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指重大疾病预防控制等重大公共卫生服务项目支出。</w:t>
      </w:r>
    </w:p>
    <w:p>
      <w:pPr>
        <w:pStyle w:val="22"/>
        <w:spacing w:line="560" w:lineRule="exact"/>
        <w:ind w:firstLine="640" w:firstLineChars="200"/>
        <w:rPr>
          <w:rFonts w:ascii="仿宋_GB2312" w:eastAsia="仿宋_GB2312"/>
          <w:color w:val="FF0000"/>
          <w:sz w:val="32"/>
          <w:szCs w:val="32"/>
          <w:highlight w:val="none"/>
        </w:rPr>
      </w:pPr>
      <w:r>
        <w:rPr>
          <w:rFonts w:hint="eastAsia" w:ascii="仿宋_GB2312" w:eastAsia="仿宋_GB2312"/>
          <w:b w:val="0"/>
          <w:bCs w:val="0"/>
          <w:color w:val="auto"/>
          <w:sz w:val="32"/>
          <w:szCs w:val="32"/>
          <w:highlight w:val="none"/>
          <w:lang w:val="en-US" w:eastAsia="zh-CN"/>
        </w:rPr>
        <w:t>16.</w:t>
      </w:r>
      <w:r>
        <w:rPr>
          <w:rFonts w:hint="default" w:ascii="仿宋_GB2312" w:hAnsi="Calibri" w:eastAsia="仿宋_GB2312"/>
          <w:b w:val="0"/>
          <w:bCs w:val="0"/>
          <w:color w:val="auto"/>
          <w:sz w:val="32"/>
          <w:szCs w:val="32"/>
          <w:highlight w:val="none"/>
        </w:rPr>
        <w:t>卫生健康</w:t>
      </w:r>
      <w:r>
        <w:rPr>
          <w:rStyle w:val="13"/>
          <w:rFonts w:hint="default" w:ascii="仿宋_GB2312" w:hAnsi="Calibri" w:eastAsia="仿宋_GB2312"/>
          <w:bCs w:val="0"/>
          <w:color w:val="auto"/>
          <w:sz w:val="32"/>
          <w:szCs w:val="32"/>
          <w:highlight w:val="none"/>
        </w:rPr>
        <w:t>（类）</w:t>
      </w:r>
      <w:r>
        <w:rPr>
          <w:rStyle w:val="13"/>
          <w:rFonts w:hint="default" w:ascii="仿宋_GB2312" w:hAnsi="Calibri" w:eastAsia="仿宋_GB2312"/>
          <w:bCs w:val="0"/>
          <w:color w:val="auto"/>
          <w:sz w:val="32"/>
          <w:szCs w:val="32"/>
          <w:highlight w:val="none"/>
          <w:lang w:eastAsia="zh-CN"/>
        </w:rPr>
        <w:t>其他卫生健康支出</w:t>
      </w:r>
      <w:r>
        <w:rPr>
          <w:rStyle w:val="13"/>
          <w:rFonts w:hint="default" w:ascii="仿宋_GB2312" w:hAnsi="Calibri" w:eastAsia="仿宋_GB2312"/>
          <w:bCs w:val="0"/>
          <w:color w:val="auto"/>
          <w:sz w:val="32"/>
          <w:szCs w:val="32"/>
          <w:highlight w:val="none"/>
        </w:rPr>
        <w:t>（款）</w:t>
      </w:r>
      <w:r>
        <w:rPr>
          <w:rStyle w:val="13"/>
          <w:rFonts w:hint="default" w:ascii="仿宋_GB2312" w:hAnsi="Calibri" w:eastAsia="仿宋_GB2312"/>
          <w:bCs w:val="0"/>
          <w:color w:val="auto"/>
          <w:sz w:val="32"/>
          <w:szCs w:val="32"/>
          <w:highlight w:val="none"/>
          <w:lang w:eastAsia="zh-CN"/>
        </w:rPr>
        <w:t>其他卫生健康支出</w:t>
      </w:r>
      <w:r>
        <w:rPr>
          <w:rStyle w:val="13"/>
          <w:rFonts w:hint="default" w:ascii="仿宋_GB2312" w:hAnsi="Calibri" w:eastAsia="仿宋_GB2312"/>
          <w:bCs w:val="0"/>
          <w:color w:val="auto"/>
          <w:sz w:val="32"/>
          <w:szCs w:val="32"/>
          <w:highlight w:val="none"/>
        </w:rPr>
        <w:t>（项）</w:t>
      </w:r>
      <w:r>
        <w:rPr>
          <w:rStyle w:val="13"/>
          <w:rFonts w:ascii="仿宋_GB2312" w:hAnsi="Calibri" w:eastAsia="仿宋_GB2312"/>
          <w:bCs w:val="0"/>
          <w:color w:val="auto"/>
          <w:sz w:val="32"/>
          <w:szCs w:val="32"/>
          <w:highlight w:val="none"/>
        </w:rPr>
        <w:t>:</w:t>
      </w:r>
      <w:r>
        <w:rPr>
          <w:rFonts w:hint="eastAsia" w:ascii="仿宋_GB2312" w:eastAsia="仿宋_GB2312"/>
          <w:bCs w:val="0"/>
          <w:color w:val="auto"/>
          <w:sz w:val="32"/>
          <w:szCs w:val="32"/>
          <w:highlight w:val="none"/>
          <w:lang w:eastAsia="zh-CN"/>
        </w:rPr>
        <w:t>指其他用于卫生健康方面的支出。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spacing w:line="600" w:lineRule="exact"/>
        <w:jc w:val="center"/>
        <w:outlineLvl w:val="0"/>
        <w:rPr>
          <w:rStyle w:val="24"/>
          <w:rFonts w:ascii="黑体" w:hAnsi="黑体" w:eastAsia="黑体"/>
          <w:b w:val="0"/>
          <w:color w:val="auto"/>
          <w:highlight w:val="none"/>
        </w:rPr>
      </w:pPr>
      <w:bookmarkStart w:id="75" w:name="_Toc10552"/>
      <w:bookmarkStart w:id="76" w:name="_Toc15396614"/>
      <w:bookmarkStart w:id="77" w:name="_Toc13738"/>
      <w:bookmarkStart w:id="78" w:name="_Toc15377226"/>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75"/>
      <w:bookmarkEnd w:id="76"/>
      <w:bookmarkEnd w:id="77"/>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bookmarkStart w:id="79" w:name="_Toc3534"/>
      <w:bookmarkStart w:id="80" w:name="_Toc4544"/>
      <w:r>
        <w:rPr>
          <w:rFonts w:hint="eastAsia" w:ascii="黑体" w:hAnsi="黑体" w:eastAsia="黑体" w:cs="黑体"/>
          <w:color w:val="auto"/>
          <w:sz w:val="32"/>
          <w:szCs w:val="32"/>
          <w:highlight w:val="none"/>
        </w:rPr>
        <w:t>附件</w:t>
      </w:r>
      <w:bookmarkEnd w:id="79"/>
      <w:bookmarkEnd w:id="80"/>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1322"/>
        <w:gridCol w:w="1528"/>
        <w:gridCol w:w="2073"/>
        <w:gridCol w:w="1609"/>
        <w:gridCol w:w="1939"/>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81" w:name="_Toc15396618"/>
            <w:r>
              <w:rPr>
                <w:rFonts w:hint="eastAsia" w:ascii="宋体" w:hAnsi="宋体" w:eastAsia="宋体" w:cs="宋体"/>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121</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121</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深化公立医院综合改革，建立健全现代医院管理制度，打造差异化优质特色学科，协调推进药品耗材改革、人事薪酬制度改革等，提高医疗卫生服务质量，提升患者满意度。</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已严格按资金用途使用完毕，为深化公立医院综合改革起到了推动作用，提高了我院医疗卫生服务质量，患者满意度有所提升。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18"/>
                <w:szCs w:val="18"/>
                <w:u w:val="none"/>
                <w:lang w:val="en-US" w:eastAsia="zh-CN" w:bidi="ar"/>
              </w:rPr>
              <w:t>医疗服务收入（不含药品、耗材、检查、化验收入）占公立医院医疗收入的比例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三级公立医院出院患者四级手术比例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公立医院百元医疗收入的医疗支出（不含药品收入）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低于2020年水平</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低于2020年水平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公立医院每门急诊人次平均收费水平增长比例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较2020年降低</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三级公立医院万元收入能耗支出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较2020年降低</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较2020年降低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公立医院患者满意度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5.6</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5.6</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通过监测职业性尘肺病等职业病，研究分析重点职业病的发病特点、变化趋势和规律，逐步摸清职业性尘肺病等重点职业病底数，为制定职业病防治有关政策、法规和标准提供科学依据。开展对重点疾病及危害因素检测，有效控制疾病流行，为制定相关政策提供科学依据。开展职业病监测，最大限度地保护放射工作人员、患者和公众的健康权益。</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已严格按资金用途使用完毕，为深化公立医院综合改革起到了推动作用，提高了我院医疗卫生服务质量，患者满意度有所提升。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18"/>
                <w:szCs w:val="18"/>
                <w:u w:val="none"/>
                <w:lang w:val="en-US" w:eastAsia="zh-CN" w:bidi="ar"/>
              </w:rPr>
              <w:t>完成国家和省级双随机抽检任务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1</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传染病和突发公共卫生事件报告率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≥95%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18"/>
                <w:szCs w:val="18"/>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5.6万元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城乡居民公共卫生服务差距</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不断缩小</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lang w:eastAsia="zh-CN"/>
              </w:rPr>
              <w:t>不断缩小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基本公共卫生服务水平</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lang w:eastAsia="zh-CN"/>
              </w:rPr>
              <w:t>服务对象</w:t>
            </w:r>
            <w:r>
              <w:rPr>
                <w:rFonts w:hint="eastAsia" w:ascii="仿宋_GB2312" w:hAnsi="仿宋_GB2312" w:eastAsia="仿宋_GB2312" w:cs="仿宋_GB2312"/>
                <w:i w:val="0"/>
                <w:color w:val="auto"/>
                <w:sz w:val="18"/>
                <w:szCs w:val="18"/>
                <w:u w:val="none"/>
              </w:rPr>
              <w:t>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完成以新冠肺炎为主的病毒性传染病监测。</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已严格按资金用途使用完毕，按国家有关新冠疫情防控要求，实现医院全员核酸检测。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18"/>
                <w:szCs w:val="18"/>
                <w:u w:val="none"/>
                <w:lang w:val="en-US" w:eastAsia="zh-CN" w:bidi="ar"/>
              </w:rPr>
              <w:t>新冠肺炎网络实验室建设任务完成率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1</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核酸检测能力要求</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符合国家标准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符合国家标准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18"/>
                <w:szCs w:val="18"/>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4万元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公共卫生服务水平提高</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公立医院患者满意度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完成市委组织部安排的对口支援木里、盐源目标任务</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医院派出骨干医师支援木里、盐源，经考核已圆满完成上级安排的目标任务。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18"/>
                <w:szCs w:val="18"/>
                <w:u w:val="none"/>
                <w:lang w:val="en-US" w:eastAsia="zh-CN" w:bidi="ar"/>
              </w:rPr>
              <w:t>派出医务人员</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2人</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lang w:eastAsia="zh-CN"/>
              </w:rPr>
              <w:t>对口支援</w:t>
            </w:r>
            <w:r>
              <w:rPr>
                <w:rFonts w:hint="eastAsia" w:ascii="仿宋_GB2312" w:hAnsi="仿宋_GB2312" w:eastAsia="仿宋_GB2312" w:cs="仿宋_GB2312"/>
                <w:i w:val="0"/>
                <w:color w:val="auto"/>
                <w:sz w:val="18"/>
                <w:szCs w:val="18"/>
                <w:u w:val="none"/>
              </w:rPr>
              <w:t>目标任务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完成</w:t>
            </w:r>
            <w:r>
              <w:rPr>
                <w:rFonts w:hint="eastAsia" w:ascii="仿宋_GB2312" w:hAnsi="仿宋_GB2312" w:eastAsia="仿宋_GB2312" w:cs="仿宋_GB2312"/>
                <w:i w:val="0"/>
                <w:color w:val="auto"/>
                <w:sz w:val="18"/>
                <w:szCs w:val="18"/>
                <w:u w:val="none"/>
                <w:lang w:eastAsia="zh-CN"/>
              </w:rPr>
              <w:t>对口支援</w:t>
            </w:r>
            <w:r>
              <w:rPr>
                <w:rFonts w:hint="eastAsia" w:ascii="仿宋_GB2312" w:hAnsi="仿宋_GB2312" w:eastAsia="仿宋_GB2312" w:cs="仿宋_GB2312"/>
                <w:i w:val="0"/>
                <w:color w:val="auto"/>
                <w:sz w:val="18"/>
                <w:szCs w:val="18"/>
                <w:u w:val="none"/>
              </w:rPr>
              <w:t>目标任务</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完成</w:t>
            </w:r>
            <w:r>
              <w:rPr>
                <w:rFonts w:hint="eastAsia" w:ascii="仿宋_GB2312" w:hAnsi="仿宋_GB2312" w:eastAsia="仿宋_GB2312" w:cs="仿宋_GB2312"/>
                <w:i w:val="0"/>
                <w:color w:val="auto"/>
                <w:sz w:val="18"/>
                <w:szCs w:val="18"/>
                <w:u w:val="none"/>
                <w:lang w:eastAsia="zh-CN"/>
              </w:rPr>
              <w:t>对口支援</w:t>
            </w:r>
            <w:r>
              <w:rPr>
                <w:rFonts w:hint="eastAsia" w:ascii="仿宋_GB2312" w:hAnsi="仿宋_GB2312" w:eastAsia="仿宋_GB2312" w:cs="仿宋_GB2312"/>
                <w:i w:val="0"/>
                <w:color w:val="auto"/>
                <w:sz w:val="18"/>
                <w:szCs w:val="18"/>
                <w:u w:val="none"/>
              </w:rPr>
              <w:t>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18"/>
                <w:szCs w:val="18"/>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5万元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18"/>
                <w:szCs w:val="18"/>
                <w:u w:val="none"/>
              </w:rPr>
              <w:t>满足患者需求</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满足</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满足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18"/>
                <w:szCs w:val="18"/>
                <w:u w:val="none"/>
                <w:lang w:eastAsia="zh-CN"/>
              </w:rPr>
              <w:t>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≥91分</w:t>
            </w:r>
          </w:p>
        </w:tc>
      </w:tr>
    </w:tbl>
    <w:p>
      <w:pPr>
        <w:spacing w:line="600" w:lineRule="exact"/>
        <w:jc w:val="both"/>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bookmarkStart w:id="82" w:name="_Toc14161"/>
      <w:bookmarkStart w:id="83" w:name="_Toc704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78"/>
      <w:bookmarkEnd w:id="81"/>
      <w:bookmarkEnd w:id="82"/>
      <w:bookmarkEnd w:id="83"/>
      <w:bookmarkStart w:id="84" w:name="_Toc15396619"/>
    </w:p>
    <w:p>
      <w:pPr>
        <w:pStyle w:val="4"/>
        <w:spacing w:before="0" w:after="0" w:line="600" w:lineRule="exact"/>
        <w:rPr>
          <w:rFonts w:ascii="仿宋" w:hAnsi="仿宋" w:eastAsia="仿宋"/>
          <w:color w:val="auto"/>
          <w:highlight w:val="none"/>
        </w:rPr>
      </w:pPr>
      <w:bookmarkStart w:id="85" w:name="_Toc15438"/>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4"/>
      <w:bookmarkEnd w:id="85"/>
    </w:p>
    <w:p>
      <w:pPr>
        <w:pStyle w:val="4"/>
        <w:spacing w:before="0" w:after="0" w:line="600" w:lineRule="exact"/>
        <w:rPr>
          <w:rFonts w:ascii="仿宋" w:hAnsi="仿宋" w:eastAsia="仿宋"/>
          <w:color w:val="auto"/>
          <w:highlight w:val="none"/>
        </w:rPr>
      </w:pPr>
      <w:bookmarkStart w:id="86" w:name="_Toc21178"/>
      <w:bookmarkStart w:id="87"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6"/>
      <w:bookmarkEnd w:id="87"/>
    </w:p>
    <w:p>
      <w:pPr>
        <w:pStyle w:val="4"/>
        <w:spacing w:before="0" w:after="0" w:line="600" w:lineRule="exact"/>
        <w:rPr>
          <w:rFonts w:ascii="仿宋" w:hAnsi="仿宋" w:eastAsia="仿宋"/>
          <w:color w:val="auto"/>
          <w:highlight w:val="none"/>
        </w:rPr>
      </w:pPr>
      <w:bookmarkStart w:id="88" w:name="_Toc19453"/>
      <w:bookmarkStart w:id="89"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8"/>
      <w:bookmarkEnd w:id="89"/>
    </w:p>
    <w:p>
      <w:pPr>
        <w:pStyle w:val="4"/>
        <w:spacing w:before="0" w:after="0" w:line="600" w:lineRule="exact"/>
        <w:rPr>
          <w:rFonts w:ascii="仿宋" w:hAnsi="仿宋" w:eastAsia="仿宋"/>
          <w:b w:val="0"/>
          <w:color w:val="auto"/>
          <w:highlight w:val="none"/>
        </w:rPr>
      </w:pPr>
      <w:bookmarkStart w:id="90" w:name="_Toc15396622"/>
      <w:bookmarkStart w:id="91" w:name="_Toc25746"/>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90"/>
      <w:bookmarkEnd w:id="91"/>
    </w:p>
    <w:p>
      <w:pPr>
        <w:pStyle w:val="4"/>
        <w:spacing w:before="0" w:after="0" w:line="600" w:lineRule="exact"/>
        <w:rPr>
          <w:rStyle w:val="25"/>
          <w:rFonts w:ascii="仿宋" w:hAnsi="仿宋" w:eastAsia="仿宋"/>
          <w:b w:val="0"/>
          <w:bCs w:val="0"/>
          <w:color w:val="auto"/>
          <w:highlight w:val="none"/>
        </w:rPr>
      </w:pPr>
      <w:bookmarkStart w:id="92" w:name="_Toc8165"/>
      <w:bookmarkStart w:id="93"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2"/>
      <w:bookmarkEnd w:id="93"/>
      <w:bookmarkStart w:id="94" w:name="_Toc15396624"/>
    </w:p>
    <w:p>
      <w:pPr>
        <w:pStyle w:val="4"/>
        <w:spacing w:before="0" w:after="0" w:line="600" w:lineRule="exact"/>
        <w:rPr>
          <w:rFonts w:ascii="仿宋" w:hAnsi="仿宋" w:eastAsia="仿宋"/>
          <w:color w:val="auto"/>
          <w:highlight w:val="none"/>
        </w:rPr>
      </w:pPr>
      <w:bookmarkStart w:id="95" w:name="_Toc26658"/>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4"/>
      <w:bookmarkEnd w:id="95"/>
    </w:p>
    <w:p>
      <w:pPr>
        <w:pStyle w:val="4"/>
        <w:spacing w:before="0" w:after="0" w:line="600" w:lineRule="exact"/>
        <w:rPr>
          <w:rFonts w:ascii="仿宋" w:hAnsi="仿宋" w:eastAsia="仿宋"/>
          <w:color w:val="auto"/>
          <w:highlight w:val="none"/>
        </w:rPr>
      </w:pPr>
      <w:bookmarkStart w:id="96" w:name="_Toc15396625"/>
      <w:bookmarkStart w:id="97" w:name="_Toc17532"/>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6"/>
      <w:bookmarkEnd w:id="97"/>
    </w:p>
    <w:p>
      <w:pPr>
        <w:pStyle w:val="4"/>
        <w:spacing w:before="0" w:after="0" w:line="600" w:lineRule="exact"/>
        <w:rPr>
          <w:rFonts w:ascii="仿宋" w:hAnsi="仿宋" w:eastAsia="仿宋"/>
          <w:color w:val="auto"/>
          <w:highlight w:val="none"/>
        </w:rPr>
      </w:pPr>
      <w:bookmarkStart w:id="98" w:name="_Toc25900"/>
      <w:bookmarkStart w:id="99"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8"/>
      <w:bookmarkEnd w:id="99"/>
    </w:p>
    <w:p>
      <w:pPr>
        <w:pStyle w:val="4"/>
        <w:spacing w:before="0" w:after="0" w:line="600" w:lineRule="exact"/>
        <w:rPr>
          <w:rFonts w:ascii="仿宋" w:hAnsi="仿宋" w:eastAsia="仿宋"/>
          <w:color w:val="auto"/>
          <w:highlight w:val="none"/>
        </w:rPr>
      </w:pPr>
      <w:bookmarkStart w:id="100" w:name="_Toc15396627"/>
      <w:bookmarkStart w:id="101" w:name="_Toc8978"/>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00"/>
      <w:bookmarkEnd w:id="101"/>
    </w:p>
    <w:p>
      <w:pPr>
        <w:pStyle w:val="4"/>
        <w:spacing w:before="0" w:after="0" w:line="600" w:lineRule="exact"/>
        <w:rPr>
          <w:rFonts w:hint="eastAsia" w:ascii="仿宋" w:hAnsi="仿宋" w:eastAsia="仿宋"/>
          <w:color w:val="auto"/>
          <w:highlight w:val="none"/>
          <w:lang w:eastAsia="zh-CN"/>
        </w:rPr>
      </w:pPr>
      <w:bookmarkStart w:id="102" w:name="_Toc15396628"/>
      <w:bookmarkStart w:id="103" w:name="_Toc1522"/>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02"/>
      <w:r>
        <w:rPr>
          <w:rStyle w:val="25"/>
          <w:rFonts w:hint="eastAsia" w:ascii="仿宋" w:hAnsi="仿宋" w:eastAsia="仿宋"/>
          <w:b w:val="0"/>
          <w:bCs w:val="0"/>
          <w:color w:val="auto"/>
          <w:highlight w:val="none"/>
          <w:lang w:eastAsia="zh-CN"/>
        </w:rPr>
        <w:t>（此表无数据）</w:t>
      </w:r>
      <w:bookmarkEnd w:id="103"/>
    </w:p>
    <w:p>
      <w:pPr>
        <w:pStyle w:val="4"/>
        <w:spacing w:before="0" w:after="0" w:line="600" w:lineRule="exact"/>
        <w:rPr>
          <w:rFonts w:hint="eastAsia" w:ascii="仿宋" w:hAnsi="仿宋" w:eastAsia="仿宋"/>
          <w:color w:val="auto"/>
          <w:highlight w:val="none"/>
          <w:lang w:eastAsia="zh-CN"/>
        </w:rPr>
      </w:pPr>
      <w:bookmarkStart w:id="104" w:name="_Toc15396629"/>
      <w:bookmarkStart w:id="105" w:name="_Toc21065"/>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4"/>
      <w:r>
        <w:rPr>
          <w:rStyle w:val="25"/>
          <w:rFonts w:hint="eastAsia" w:ascii="仿宋" w:hAnsi="仿宋" w:eastAsia="仿宋"/>
          <w:b w:val="0"/>
          <w:bCs w:val="0"/>
          <w:color w:val="auto"/>
          <w:highlight w:val="none"/>
          <w:lang w:eastAsia="zh-CN"/>
        </w:rPr>
        <w:t>（此表无数据）</w:t>
      </w:r>
      <w:bookmarkEnd w:id="105"/>
    </w:p>
    <w:p>
      <w:pPr>
        <w:pStyle w:val="4"/>
        <w:spacing w:before="0" w:after="0" w:line="600" w:lineRule="exact"/>
        <w:rPr>
          <w:rFonts w:ascii="仿宋" w:hAnsi="仿宋" w:eastAsia="仿宋"/>
          <w:color w:val="auto"/>
          <w:highlight w:val="none"/>
        </w:rPr>
      </w:pPr>
      <w:bookmarkStart w:id="106" w:name="_Toc15396630"/>
      <w:bookmarkStart w:id="107" w:name="_Toc28238"/>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06"/>
      <w:r>
        <w:rPr>
          <w:rStyle w:val="25"/>
          <w:rFonts w:hint="eastAsia" w:ascii="仿宋" w:hAnsi="仿宋" w:eastAsia="仿宋"/>
          <w:b w:val="0"/>
          <w:bCs w:val="0"/>
          <w:color w:val="auto"/>
          <w:highlight w:val="none"/>
          <w:lang w:eastAsia="zh-CN"/>
        </w:rPr>
        <w:t>（此表无数据）</w:t>
      </w:r>
      <w:bookmarkEnd w:id="107"/>
    </w:p>
    <w:p>
      <w:pPr>
        <w:pStyle w:val="4"/>
        <w:spacing w:before="0" w:after="0" w:line="600" w:lineRule="exact"/>
        <w:rPr>
          <w:rStyle w:val="25"/>
          <w:rFonts w:hint="eastAsia" w:ascii="仿宋" w:hAnsi="仿宋" w:eastAsia="仿宋"/>
          <w:b w:val="0"/>
          <w:bCs w:val="0"/>
          <w:color w:val="auto"/>
          <w:highlight w:val="none"/>
        </w:rPr>
      </w:pPr>
      <w:bookmarkStart w:id="108" w:name="_Toc15396631"/>
      <w:bookmarkStart w:id="109" w:name="_Toc257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8"/>
      <w:r>
        <w:rPr>
          <w:rStyle w:val="25"/>
          <w:rFonts w:hint="eastAsia" w:ascii="仿宋" w:hAnsi="仿宋" w:eastAsia="仿宋"/>
          <w:b w:val="0"/>
          <w:bCs w:val="0"/>
          <w:color w:val="auto"/>
          <w:highlight w:val="none"/>
          <w:lang w:eastAsia="zh-CN"/>
        </w:rPr>
        <w:t>（此表无数据）</w:t>
      </w:r>
      <w:bookmarkEnd w:id="109"/>
    </w:p>
    <w:p>
      <w:pPr>
        <w:pStyle w:val="4"/>
        <w:spacing w:before="0" w:after="0" w:line="600" w:lineRule="exact"/>
        <w:rPr>
          <w:rFonts w:hint="eastAsia" w:ascii="仿宋" w:hAnsi="仿宋" w:eastAsia="仿宋"/>
          <w:color w:val="auto"/>
          <w:highlight w:val="none"/>
          <w:lang w:eastAsia="zh-CN"/>
        </w:rPr>
      </w:pPr>
      <w:bookmarkStart w:id="110" w:name="_Toc26088"/>
      <w:r>
        <w:rPr>
          <w:rStyle w:val="25"/>
          <w:rFonts w:hint="eastAsia" w:ascii="仿宋" w:hAnsi="仿宋" w:eastAsia="仿宋"/>
          <w:b w:val="0"/>
          <w:bCs w:val="0"/>
          <w:color w:val="auto"/>
          <w:highlight w:val="none"/>
          <w:lang w:eastAsia="zh-CN"/>
        </w:rPr>
        <w:t>十四、国有资本经营预算财政拨款支出决算表（此表无数据）</w:t>
      </w:r>
      <w:bookmarkEnd w:id="110"/>
    </w:p>
    <w:p>
      <w:pPr>
        <w:rPr>
          <w:rFonts w:hint="eastAsia" w:eastAsia="仿宋"/>
          <w:color w:val="auto"/>
          <w:highlight w:val="none"/>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47B60"/>
    <w:multiLevelType w:val="singleLevel"/>
    <w:tmpl w:val="B2947B60"/>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NjY2OGEzNDI0NzM0NThlNWNlN2I4MmE3MDNmYW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37C7"/>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E31C0"/>
    <w:rsid w:val="02622F2C"/>
    <w:rsid w:val="0A2032A3"/>
    <w:rsid w:val="0B8A37D8"/>
    <w:rsid w:val="0BC30262"/>
    <w:rsid w:val="10C055FF"/>
    <w:rsid w:val="118107EC"/>
    <w:rsid w:val="11DD6519"/>
    <w:rsid w:val="14E31450"/>
    <w:rsid w:val="16BB723D"/>
    <w:rsid w:val="18015F3F"/>
    <w:rsid w:val="191F6AB5"/>
    <w:rsid w:val="1A7258DF"/>
    <w:rsid w:val="1AE84102"/>
    <w:rsid w:val="1BE8440E"/>
    <w:rsid w:val="1D155CEE"/>
    <w:rsid w:val="1D711500"/>
    <w:rsid w:val="1E384574"/>
    <w:rsid w:val="20F57F95"/>
    <w:rsid w:val="240371BF"/>
    <w:rsid w:val="25C741E6"/>
    <w:rsid w:val="266D01D8"/>
    <w:rsid w:val="27842671"/>
    <w:rsid w:val="29FD04D3"/>
    <w:rsid w:val="2A7070C3"/>
    <w:rsid w:val="2ABE7A3E"/>
    <w:rsid w:val="2BA241EA"/>
    <w:rsid w:val="2EFA178C"/>
    <w:rsid w:val="30B46D73"/>
    <w:rsid w:val="319F7F4E"/>
    <w:rsid w:val="341E36EA"/>
    <w:rsid w:val="39115576"/>
    <w:rsid w:val="3964441D"/>
    <w:rsid w:val="39AE70AB"/>
    <w:rsid w:val="3C0C0783"/>
    <w:rsid w:val="3F9F3A96"/>
    <w:rsid w:val="42E37C75"/>
    <w:rsid w:val="493C27E9"/>
    <w:rsid w:val="496F39ED"/>
    <w:rsid w:val="49FF41D3"/>
    <w:rsid w:val="4BE068DB"/>
    <w:rsid w:val="4BF6002B"/>
    <w:rsid w:val="4ECE2238"/>
    <w:rsid w:val="51DB4B86"/>
    <w:rsid w:val="55333C3E"/>
    <w:rsid w:val="565D003B"/>
    <w:rsid w:val="58E047C8"/>
    <w:rsid w:val="5B973EC4"/>
    <w:rsid w:val="5D4B6015"/>
    <w:rsid w:val="5E9E47CB"/>
    <w:rsid w:val="5F978ED9"/>
    <w:rsid w:val="60B14F26"/>
    <w:rsid w:val="64CA39A1"/>
    <w:rsid w:val="66A50288"/>
    <w:rsid w:val="682C60EB"/>
    <w:rsid w:val="6BA97B97"/>
    <w:rsid w:val="6C4A05C8"/>
    <w:rsid w:val="6D110E3E"/>
    <w:rsid w:val="6D881F46"/>
    <w:rsid w:val="72734D90"/>
    <w:rsid w:val="76EF44DD"/>
    <w:rsid w:val="773B43B2"/>
    <w:rsid w:val="79E7B28D"/>
    <w:rsid w:val="7C470ACE"/>
    <w:rsid w:val="7C7B64C8"/>
    <w:rsid w:val="7DD0068A"/>
    <w:rsid w:val="7F9F20EE"/>
    <w:rsid w:val="9E3A10E2"/>
    <w:rsid w:val="B7DFFE50"/>
    <w:rsid w:val="DBBF0C6D"/>
    <w:rsid w:val="F2E1F9D4"/>
    <w:rsid w:val="F7880819"/>
    <w:rsid w:val="FD8F07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H:\KINGSTON%20(F)\&#20915;&#31639;&#36130;&#21153;&#20998;&#26512;\&#37096;&#38376;&#20915;&#31639;\2021&#20915;&#31639;\&#20915;&#31639;&#20844;&#24320;\&#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H:\KINGSTON%20(F)\&#20915;&#31639;&#36130;&#21153;&#20998;&#26512;\&#37096;&#38376;&#20915;&#31639;\2021&#20915;&#31639;\&#20915;&#31639;&#20844;&#24320;\&#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收入支出总体情况</a:t>
            </a:r>
          </a:p>
        </c:rich>
      </c:tx>
      <c:layout/>
      <c:overlay val="0"/>
      <c:spPr>
        <a:noFill/>
        <a:ln>
          <a:noFill/>
        </a:ln>
        <a:effectLst/>
      </c:spPr>
    </c:title>
    <c:autoTitleDeleted val="0"/>
    <c:plotArea>
      <c:layout/>
      <c:barChart>
        <c:barDir val="col"/>
        <c:grouping val="clustered"/>
        <c:varyColors val="0"/>
        <c:ser>
          <c:idx val="0"/>
          <c:order val="0"/>
          <c:tx>
            <c:strRef>
              <c:f>[工作簿1.xlsx]Sheet1!$A$3</c:f>
              <c:strCache>
                <c:ptCount val="1"/>
                <c:pt idx="0">
                  <c:v>总收、支</c:v>
                </c:pt>
              </c:strCache>
            </c:strRef>
          </c:tx>
          <c:spPr>
            <a:solidFill>
              <a:schemeClr val="accent1"/>
            </a:solidFill>
            <a:ln>
              <a:noFill/>
            </a:ln>
            <a:effectLst/>
          </c:spPr>
          <c:invertIfNegative val="0"/>
          <c:dLbls>
            <c:delete val="1"/>
          </c:dLbls>
          <c:cat>
            <c:multiLvlStrRef>
              <c:f>[工作簿1.xlsx]Sheet1!$B$1:$E$2</c:f>
              <c:multiLvlStrCache>
                <c:ptCount val="4"/>
                <c:lvl>
                  <c:pt idx="0">
                    <c:v>2020年</c:v>
                  </c:pt>
                  <c:pt idx="1">
                    <c:v>2021年</c:v>
                  </c:pt>
                  <c:pt idx="2">
                    <c:v>差额</c:v>
                  </c:pt>
                  <c:pt idx="3">
                    <c:v>增长率</c:v>
                  </c:pt>
                </c:lvl>
                <c:lvl/>
              </c:multiLvlStrCache>
            </c:multiLvlStrRef>
          </c:cat>
          <c:val>
            <c:numRef>
              <c:f>[工作簿1.xlsx]Sheet1!$B$3:$E$3</c:f>
              <c:numCache>
                <c:formatCode>General</c:formatCode>
                <c:ptCount val="4"/>
                <c:pt idx="0">
                  <c:v>21187</c:v>
                </c:pt>
                <c:pt idx="1">
                  <c:v>22719.12</c:v>
                </c:pt>
                <c:pt idx="2">
                  <c:v>1532.12</c:v>
                </c:pt>
                <c:pt idx="3" c:formatCode="0.00%">
                  <c:v>0.0723141549063104</c:v>
                </c:pt>
              </c:numCache>
            </c:numRef>
          </c:val>
        </c:ser>
        <c:dLbls>
          <c:showLegendKey val="0"/>
          <c:showVal val="0"/>
          <c:showCatName val="0"/>
          <c:showSerName val="0"/>
          <c:showPercent val="0"/>
          <c:showBubbleSize val="0"/>
        </c:dLbls>
        <c:gapWidth val="150"/>
        <c:overlap val="0"/>
        <c:axId val="615061277"/>
        <c:axId val="389401951"/>
      </c:barChart>
      <c:catAx>
        <c:axId val="6150612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401951"/>
        <c:crosses val="autoZero"/>
        <c:auto val="1"/>
        <c:lblAlgn val="ctr"/>
        <c:lblOffset val="100"/>
        <c:noMultiLvlLbl val="0"/>
      </c:catAx>
      <c:valAx>
        <c:axId val="3894019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06127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[工作簿1]Sheet1!$A$4:$A$6</c:f>
              <c:strCache>
                <c:ptCount val="3"/>
                <c:pt idx="0">
                  <c:v>一般公共预算财政拨款收入</c:v>
                </c:pt>
                <c:pt idx="1">
                  <c:v>事业收入</c:v>
                </c:pt>
                <c:pt idx="2">
                  <c:v>其他收入</c:v>
                </c:pt>
              </c:strCache>
            </c:strRef>
          </c:cat>
          <c:val>
            <c:numRef>
              <c:f>[工作簿1]Sheet1!$B$4:$B$6</c:f>
              <c:numCache>
                <c:formatCode>General</c:formatCode>
                <c:ptCount val="3"/>
                <c:pt idx="0">
                  <c:v>1971.42</c:v>
                </c:pt>
                <c:pt idx="1">
                  <c:v>19424.9</c:v>
                </c:pt>
                <c:pt idx="2">
                  <c:v>224.83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[工作簿1]Sheet1!$F$1:$G$1</c:f>
              <c:strCache>
                <c:ptCount val="2"/>
                <c:pt idx="0">
                  <c:v>基本支出</c:v>
                </c:pt>
                <c:pt idx="1">
                  <c:v>项目支出</c:v>
                </c:pt>
              </c:strCache>
            </c:strRef>
          </c:cat>
          <c:val>
            <c:numRef>
              <c:f>[工作簿1]Sheet1!$F$2:$G$2</c:f>
              <c:numCache>
                <c:formatCode>General</c:formatCode>
                <c:ptCount val="2"/>
                <c:pt idx="0">
                  <c:v>22588.65</c:v>
                </c:pt>
                <c:pt idx="1">
                  <c:v>130.47</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[工作簿1]Sheet1!$F$1:$G$1</c:f>
              <c:strCache>
                <c:ptCount val="2"/>
                <c:pt idx="0">
                  <c:v>基本支出</c:v>
                </c:pt>
                <c:pt idx="1">
                  <c:v>项目支出</c:v>
                </c:pt>
              </c:strCache>
            </c:strRef>
          </c:cat>
          <c:val>
            <c:numRef>
              <c:f>[工作簿1]Sheet1!$F$3:$G$3</c:f>
              <c:numCache>
                <c:formatCode>0.00%</c:formatCode>
                <c:ptCount val="2"/>
                <c:pt idx="0">
                  <c:v>0.994257259964294</c:v>
                </c:pt>
                <c:pt idx="1">
                  <c:v>0.00574274003570561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财政拨款收、支情况</a:t>
            </a:r>
          </a:p>
        </c:rich>
      </c:tx>
      <c:layout/>
      <c:overlay val="0"/>
      <c:spPr>
        <a:noFill/>
        <a:ln>
          <a:noFill/>
        </a:ln>
        <a:effectLst/>
      </c:spPr>
    </c:title>
    <c:autoTitleDeleted val="0"/>
    <c:plotArea>
      <c:layout/>
      <c:barChart>
        <c:barDir val="col"/>
        <c:grouping val="clustered"/>
        <c:varyColors val="0"/>
        <c:ser>
          <c:idx val="0"/>
          <c:order val="0"/>
          <c:tx>
            <c:strRef>
              <c:f>[工作簿1.xlsx]Sheet1!$A$31</c:f>
              <c:strCache>
                <c:ptCount val="1"/>
                <c:pt idx="0">
                  <c:v>财政拨款收、支总计</c:v>
                </c:pt>
              </c:strCache>
            </c:strRef>
          </c:tx>
          <c:spPr>
            <a:solidFill>
              <a:schemeClr val="accent1"/>
            </a:solidFill>
            <a:ln>
              <a:noFill/>
            </a:ln>
            <a:effectLst/>
          </c:spPr>
          <c:invertIfNegative val="0"/>
          <c:dLbls>
            <c:delete val="1"/>
          </c:dLbls>
          <c:cat>
            <c:strRef>
              <c:f>[工作簿1.xlsx]Sheet1!$B$30:$E$30</c:f>
              <c:strCache>
                <c:ptCount val="4"/>
                <c:pt idx="0">
                  <c:v>2020年</c:v>
                </c:pt>
                <c:pt idx="1">
                  <c:v>2021年</c:v>
                </c:pt>
                <c:pt idx="2">
                  <c:v>差额</c:v>
                </c:pt>
                <c:pt idx="3">
                  <c:v>增长率</c:v>
                </c:pt>
              </c:strCache>
            </c:strRef>
          </c:cat>
          <c:val>
            <c:numRef>
              <c:f>[工作簿1.xlsx]Sheet1!$B$31:$E$31</c:f>
              <c:numCache>
                <c:formatCode>General</c:formatCode>
                <c:ptCount val="4"/>
                <c:pt idx="0">
                  <c:v>2154.36</c:v>
                </c:pt>
                <c:pt idx="1">
                  <c:v>1985.48</c:v>
                </c:pt>
                <c:pt idx="2">
                  <c:v>-168.88</c:v>
                </c:pt>
                <c:pt idx="3" c:formatCode="0.00%">
                  <c:v>-0.0783898698453369</c:v>
                </c:pt>
              </c:numCache>
            </c:numRef>
          </c:val>
        </c:ser>
        <c:dLbls>
          <c:showLegendKey val="0"/>
          <c:showVal val="0"/>
          <c:showCatName val="0"/>
          <c:showSerName val="0"/>
          <c:showPercent val="0"/>
          <c:showBubbleSize val="0"/>
        </c:dLbls>
        <c:gapWidth val="150"/>
        <c:overlap val="0"/>
        <c:axId val="136320717"/>
        <c:axId val="262499506"/>
      </c:barChart>
      <c:catAx>
        <c:axId val="1363207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499506"/>
        <c:crosses val="autoZero"/>
        <c:auto val="1"/>
        <c:lblAlgn val="ctr"/>
        <c:lblOffset val="100"/>
        <c:noMultiLvlLbl val="0"/>
      </c:catAx>
      <c:valAx>
        <c:axId val="2624995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32071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[工作簿1]Sheet1!$A$9</c:f>
              <c:strCache>
                <c:ptCount val="1"/>
                <c:pt idx="0">
                  <c:v>总支出</c:v>
                </c:pt>
              </c:strCache>
            </c:strRef>
          </c:tx>
          <c:spPr>
            <a:solidFill>
              <a:schemeClr val="accent1"/>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[工作簿1]Sheet1!$B$9:$E$9</c:f>
              <c:numCache>
                <c:formatCode>General</c:formatCode>
                <c:ptCount val="4"/>
                <c:pt idx="0">
                  <c:v>21187</c:v>
                </c:pt>
                <c:pt idx="1">
                  <c:v>22719.12</c:v>
                </c:pt>
                <c:pt idx="2">
                  <c:v>1532.12</c:v>
                </c:pt>
                <c:pt idx="3" c:formatCode="0.00%">
                  <c:v>0.0723141549063104</c:v>
                </c:pt>
              </c:numCache>
            </c:numRef>
          </c:val>
        </c:ser>
        <c:ser>
          <c:idx val="1"/>
          <c:order val="1"/>
          <c:tx>
            <c:strRef>
              <c:f>[工作簿1]Sheet1!$A$10</c:f>
              <c:strCache>
                <c:ptCount val="1"/>
                <c:pt idx="0">
                  <c:v>一般公共预算财政拨款支出</c:v>
                </c:pt>
              </c:strCache>
            </c:strRef>
          </c:tx>
          <c:spPr>
            <a:solidFill>
              <a:schemeClr val="accent2"/>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[工作簿1]Sheet1!$B$10:$E$10</c:f>
              <c:numCache>
                <c:formatCode>General</c:formatCode>
                <c:ptCount val="4"/>
                <c:pt idx="0">
                  <c:v>811.21</c:v>
                </c:pt>
                <c:pt idx="1">
                  <c:v>1985.48</c:v>
                </c:pt>
                <c:pt idx="2">
                  <c:v>1174.27</c:v>
                </c:pt>
                <c:pt idx="3" c:formatCode="0.00%">
                  <c:v>1.44755365441747</c:v>
                </c:pt>
              </c:numCache>
            </c:numRef>
          </c:val>
        </c:ser>
        <c:ser>
          <c:idx val="2"/>
          <c:order val="2"/>
          <c:tx>
            <c:strRef>
              <c:f>[工作簿1]Sheet1!$A$11</c:f>
              <c:strCache>
                <c:ptCount val="1"/>
                <c:pt idx="0">
                  <c:v>占比</c:v>
                </c:pt>
              </c:strCache>
            </c:strRef>
          </c:tx>
          <c:spPr>
            <a:solidFill>
              <a:schemeClr val="accent3"/>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[工作簿1]Sheet1!$B$11:$E$11</c:f>
              <c:numCache>
                <c:formatCode>0.00%</c:formatCode>
                <c:ptCount val="4"/>
                <c:pt idx="0">
                  <c:v>0.0382881011941285</c:v>
                </c:pt>
                <c:pt idx="1">
                  <c:v>0.0873924694266327</c:v>
                </c:pt>
              </c:numCache>
            </c:numRef>
          </c:val>
        </c:ser>
        <c:dLbls>
          <c:showLegendKey val="0"/>
          <c:showVal val="0"/>
          <c:showCatName val="0"/>
          <c:showSerName val="0"/>
          <c:showPercent val="0"/>
          <c:showBubbleSize val="0"/>
        </c:dLbls>
        <c:gapWidth val="150"/>
        <c:overlap val="0"/>
        <c:axId val="799746788"/>
        <c:axId val="265458768"/>
      </c:barChart>
      <c:catAx>
        <c:axId val="7997467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458768"/>
        <c:crosses val="autoZero"/>
        <c:auto val="1"/>
        <c:lblAlgn val="ctr"/>
        <c:lblOffset val="100"/>
        <c:noMultiLvlLbl val="0"/>
      </c:catAx>
      <c:valAx>
        <c:axId val="26545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7467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[工作簿1]Sheet1!$A$16:$C$16</c:f>
              <c:strCache>
                <c:ptCount val="3"/>
                <c:pt idx="0">
                  <c:v>一般公共服务（类）支出</c:v>
                </c:pt>
                <c:pt idx="1">
                  <c:v>社会保障和就业（类）支出</c:v>
                </c:pt>
                <c:pt idx="2">
                  <c:v>卫生健康支出</c:v>
                </c:pt>
              </c:strCache>
            </c:strRef>
          </c:cat>
          <c:val>
            <c:numRef>
              <c:f>[工作簿1]Sheet1!$A$17:$C$17</c:f>
              <c:numCache>
                <c:formatCode>General</c:formatCode>
                <c:ptCount val="3"/>
                <c:pt idx="0">
                  <c:v>6.53</c:v>
                </c:pt>
                <c:pt idx="1">
                  <c:v>1648.48</c:v>
                </c:pt>
                <c:pt idx="2">
                  <c:v>330.47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5563</Words>
  <Characters>6105</Characters>
  <Lines>61</Lines>
  <Paragraphs>17</Paragraphs>
  <TotalTime>28</TotalTime>
  <ScaleCrop>false</ScaleCrop>
  <LinksUpToDate>false</LinksUpToDate>
  <CharactersWithSpaces>6129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彧溢</cp:lastModifiedBy>
  <cp:lastPrinted>2022-08-06T18:23:00Z</cp:lastPrinted>
  <dcterms:modified xsi:type="dcterms:W3CDTF">2022-09-04T09:59:33Z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2A5ED7543E464DAD97C14BCE15B58305</vt:lpwstr>
  </property>
</Properties>
</file>